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A9" w:rsidRDefault="00BA65D1" w:rsidP="00BA65D1">
      <w:pPr>
        <w:spacing w:before="203" w:line="274" w:lineRule="exact"/>
        <w:jc w:val="center"/>
        <w:textAlignment w:val="baseline"/>
        <w:rPr>
          <w:rFonts w:eastAsia="Times New Roman"/>
          <w:b/>
          <w:color w:val="000000"/>
          <w:sz w:val="23"/>
        </w:rPr>
      </w:pPr>
      <w:r>
        <w:rPr>
          <w:rFonts w:eastAsia="Times New Roman"/>
          <w:b/>
          <w:color w:val="000000"/>
          <w:sz w:val="23"/>
        </w:rPr>
        <w:t>Title IX Grievance Process</w:t>
      </w:r>
    </w:p>
    <w:p w:rsidR="00BA65D1" w:rsidRDefault="00BA65D1" w:rsidP="00BA65D1">
      <w:pPr>
        <w:spacing w:before="203" w:line="274" w:lineRule="exact"/>
        <w:jc w:val="center"/>
        <w:textAlignment w:val="baseline"/>
        <w:rPr>
          <w:rFonts w:eastAsia="Times New Roman"/>
          <w:b/>
          <w:color w:val="000000"/>
          <w:sz w:val="23"/>
        </w:rPr>
      </w:pPr>
    </w:p>
    <w:p w:rsidR="00C91A4B" w:rsidRDefault="00C91A4B" w:rsidP="00C91A4B">
      <w:pPr>
        <w:spacing w:before="159" w:line="273" w:lineRule="exact"/>
        <w:textAlignment w:val="baseline"/>
        <w:rPr>
          <w:rFonts w:eastAsia="Times New Roman"/>
          <w:b/>
          <w:color w:val="000000"/>
          <w:spacing w:val="-3"/>
          <w:sz w:val="23"/>
        </w:rPr>
      </w:pPr>
      <w:r>
        <w:rPr>
          <w:rFonts w:eastAsia="Times New Roman"/>
          <w:b/>
          <w:color w:val="000000"/>
          <w:spacing w:val="-3"/>
          <w:sz w:val="23"/>
        </w:rPr>
        <w:t>PURPOSE</w:t>
      </w:r>
    </w:p>
    <w:p w:rsidR="00C91A4B" w:rsidRDefault="00C91A4B" w:rsidP="00C91A4B">
      <w:pPr>
        <w:spacing w:before="172" w:line="285" w:lineRule="exact"/>
        <w:jc w:val="both"/>
        <w:textAlignment w:val="baseline"/>
        <w:rPr>
          <w:rFonts w:eastAsia="Times New Roman"/>
          <w:color w:val="000000"/>
          <w:spacing w:val="-2"/>
          <w:sz w:val="23"/>
        </w:rPr>
      </w:pPr>
      <w:r>
        <w:rPr>
          <w:rFonts w:eastAsia="Times New Roman"/>
          <w:color w:val="000000"/>
          <w:spacing w:val="-2"/>
          <w:sz w:val="23"/>
        </w:rPr>
        <w:t>The purpose of these procedures is to effectuate Title IX's prohibition against sex discrimination and to respond promptly and supportively to persons alleged to be victimized by sexual harassment, resolve allegations of sexual harassment promptly and accurately under a predictable, fair grievance process that provides due process protections to alleged victims and alleged perpetrators of sexual harassment, and effectively implement remedies for victims. These procedures apply only to complaints alleging discrimination prohibited by Title IX (including sexual harassment and sexual violence).</w:t>
      </w:r>
    </w:p>
    <w:p w:rsidR="00C91A4B" w:rsidRDefault="00C91A4B" w:rsidP="00C91A4B">
      <w:pPr>
        <w:spacing w:before="147" w:line="285" w:lineRule="exact"/>
        <w:jc w:val="both"/>
        <w:textAlignment w:val="baseline"/>
        <w:rPr>
          <w:rFonts w:eastAsia="Times New Roman"/>
          <w:color w:val="000000"/>
          <w:sz w:val="23"/>
        </w:rPr>
      </w:pPr>
      <w:r>
        <w:rPr>
          <w:rFonts w:eastAsia="Times New Roman"/>
          <w:color w:val="000000"/>
          <w:sz w:val="23"/>
        </w:rPr>
        <w:t>These procedures shall be available in every school site administrative office, posted on the District website, and included in student handbooks.</w:t>
      </w:r>
    </w:p>
    <w:p w:rsidR="00C91A4B" w:rsidRDefault="00C91A4B" w:rsidP="00C91A4B">
      <w:pPr>
        <w:spacing w:before="160" w:line="273" w:lineRule="exact"/>
        <w:textAlignment w:val="baseline"/>
        <w:rPr>
          <w:rFonts w:eastAsia="Times New Roman"/>
          <w:b/>
          <w:color w:val="000000"/>
          <w:spacing w:val="-2"/>
          <w:sz w:val="23"/>
        </w:rPr>
      </w:pPr>
      <w:r>
        <w:rPr>
          <w:rFonts w:eastAsia="Times New Roman"/>
          <w:b/>
          <w:color w:val="000000"/>
          <w:spacing w:val="-2"/>
          <w:sz w:val="23"/>
        </w:rPr>
        <w:t>DEFINITIONS</w:t>
      </w:r>
    </w:p>
    <w:p w:rsidR="00C91A4B" w:rsidRDefault="00C91A4B" w:rsidP="00C91A4B">
      <w:pPr>
        <w:spacing w:before="168" w:line="286" w:lineRule="exact"/>
        <w:jc w:val="both"/>
        <w:textAlignment w:val="baseline"/>
        <w:rPr>
          <w:rFonts w:eastAsia="Times New Roman"/>
          <w:b/>
          <w:color w:val="000000"/>
          <w:spacing w:val="-2"/>
          <w:sz w:val="23"/>
        </w:rPr>
      </w:pPr>
      <w:r>
        <w:rPr>
          <w:rFonts w:eastAsia="Times New Roman"/>
          <w:b/>
          <w:color w:val="000000"/>
          <w:spacing w:val="-2"/>
          <w:sz w:val="23"/>
        </w:rPr>
        <w:t xml:space="preserve">Actual knowledge </w:t>
      </w:r>
      <w:r>
        <w:rPr>
          <w:rFonts w:eastAsia="Times New Roman"/>
          <w:color w:val="000000"/>
          <w:spacing w:val="-2"/>
          <w:sz w:val="23"/>
        </w:rPr>
        <w:t xml:space="preserve">means notice of sexual harassment or allegations of sexual harassment to a District's Title IX Coordinator (identified in </w:t>
      </w:r>
      <w:r w:rsidRPr="00C91A4B">
        <w:rPr>
          <w:rFonts w:eastAsia="Times New Roman"/>
          <w:b/>
          <w:color w:val="000000"/>
          <w:spacing w:val="-2"/>
          <w:sz w:val="23"/>
        </w:rPr>
        <w:t>Attachment A</w:t>
      </w:r>
      <w:r>
        <w:rPr>
          <w:rFonts w:eastAsia="Times New Roman"/>
          <w:color w:val="000000"/>
          <w:spacing w:val="-2"/>
          <w:sz w:val="23"/>
        </w:rPr>
        <w:t>) or any official of the District who has authority to institute corrective measures on behalf of the District, or to any employee of an elementary and secondary school. Imputation of knowledge based solely on vicarious liability or constructive notice is insufficient to constitute actual knowledge. This standard is not met when the only official of the District with actual knowledge is the respondent. The mere ability or obligation to report sexual harassment or to inform a student about how to report sexual harassment, or having been trained to do so, does not qualify an individual as one who has authority to institute corrective measures on behalf of the District. "Notice" as used in this paragraph includes, but is not limited to, a report of sexual harassment to the Title IX Coordinator.</w:t>
      </w:r>
    </w:p>
    <w:p w:rsidR="00C91A4B" w:rsidRDefault="00C91A4B" w:rsidP="00C91A4B">
      <w:pPr>
        <w:spacing w:before="163" w:line="279" w:lineRule="exact"/>
        <w:jc w:val="both"/>
        <w:textAlignment w:val="baseline"/>
        <w:rPr>
          <w:rFonts w:eastAsia="Times New Roman"/>
          <w:b/>
          <w:color w:val="000000"/>
          <w:sz w:val="23"/>
        </w:rPr>
      </w:pPr>
      <w:r>
        <w:rPr>
          <w:rFonts w:eastAsia="Times New Roman"/>
          <w:b/>
          <w:color w:val="000000"/>
          <w:sz w:val="23"/>
        </w:rPr>
        <w:t xml:space="preserve">Complainant </w:t>
      </w:r>
      <w:r>
        <w:rPr>
          <w:rFonts w:eastAsia="Times New Roman"/>
          <w:color w:val="000000"/>
          <w:sz w:val="23"/>
        </w:rPr>
        <w:t>means a student or employee of the District who is alleged to be the victim of conduct that could constitute sexual harassment.</w:t>
      </w:r>
    </w:p>
    <w:p w:rsidR="00C91A4B" w:rsidRDefault="00C91A4B" w:rsidP="00C91A4B">
      <w:pPr>
        <w:spacing w:before="165" w:line="286" w:lineRule="exact"/>
        <w:jc w:val="both"/>
        <w:textAlignment w:val="baseline"/>
        <w:rPr>
          <w:rFonts w:eastAsia="Times New Roman"/>
          <w:color w:val="000000"/>
          <w:sz w:val="23"/>
        </w:rPr>
      </w:pPr>
      <w:r>
        <w:rPr>
          <w:rFonts w:eastAsia="Times New Roman"/>
          <w:b/>
          <w:color w:val="000000"/>
          <w:spacing w:val="-2"/>
          <w:sz w:val="23"/>
        </w:rPr>
        <w:t xml:space="preserve">Formal complaint </w:t>
      </w:r>
      <w:r>
        <w:rPr>
          <w:rFonts w:eastAsia="Times New Roman"/>
          <w:color w:val="000000"/>
          <w:spacing w:val="-2"/>
          <w:sz w:val="23"/>
        </w:rPr>
        <w:t xml:space="preserve">means a document filed by a complainant or signed by the Title IX Coordinator alleging sexual harassment against a respondent and requesting that the District investigate the allegation of sexual harassment. At the time of filing a formal complaint, a complainant must be participating in or attempting to participate in the education program or activity of the District with which the formal complaint is filed. A formal complaint may be filed with the Title IX Coordinator in person, by mail, or by electronic mail, by using the contact information required to be listed for the Title </w:t>
      </w:r>
      <w:r w:rsidR="00A2563A">
        <w:rPr>
          <w:rFonts w:eastAsia="Times New Roman"/>
          <w:color w:val="000000"/>
          <w:spacing w:val="-2"/>
          <w:sz w:val="23"/>
        </w:rPr>
        <w:t>I</w:t>
      </w:r>
      <w:r>
        <w:rPr>
          <w:rFonts w:eastAsia="Times New Roman"/>
          <w:color w:val="000000"/>
          <w:spacing w:val="-2"/>
          <w:sz w:val="23"/>
        </w:rPr>
        <w:t xml:space="preserve">X Coordinator in </w:t>
      </w:r>
      <w:r w:rsidRPr="00C91A4B">
        <w:rPr>
          <w:rFonts w:eastAsia="Times New Roman"/>
          <w:b/>
          <w:color w:val="000000"/>
          <w:spacing w:val="-2"/>
          <w:sz w:val="23"/>
        </w:rPr>
        <w:t>Attachment A</w:t>
      </w:r>
      <w:r>
        <w:rPr>
          <w:rFonts w:eastAsia="Times New Roman"/>
          <w:color w:val="000000"/>
          <w:spacing w:val="-2"/>
          <w:sz w:val="23"/>
        </w:rPr>
        <w:t xml:space="preserve"> and by any additional method designated by the District. As used in this paragraph, the phrase "document filed by a complainant" means a document or electronic submission (such as by electronic mail or through an online portal provided for this purpose by the District) that contains the complainant's physical or digital signature, or otherwise indicates that the complainant is the person filing the formal </w:t>
      </w:r>
      <w:r>
        <w:rPr>
          <w:rFonts w:eastAsia="Times New Roman"/>
          <w:color w:val="000000"/>
          <w:sz w:val="23"/>
        </w:rPr>
        <w:t xml:space="preserve">complaint. The Form attached as </w:t>
      </w:r>
      <w:r>
        <w:rPr>
          <w:rFonts w:eastAsia="Times New Roman"/>
          <w:b/>
          <w:color w:val="000000"/>
          <w:sz w:val="23"/>
        </w:rPr>
        <w:t xml:space="preserve">Attachment B </w:t>
      </w:r>
      <w:r>
        <w:rPr>
          <w:rFonts w:eastAsia="Times New Roman"/>
          <w:color w:val="000000"/>
          <w:sz w:val="23"/>
        </w:rPr>
        <w:t>may be used for the submission of the Formal Complaint but is not required.</w:t>
      </w:r>
    </w:p>
    <w:p w:rsidR="00C91A4B" w:rsidRDefault="00C91A4B" w:rsidP="00C91A4B">
      <w:pPr>
        <w:spacing w:before="169" w:line="272" w:lineRule="exact"/>
        <w:ind w:right="72"/>
        <w:textAlignment w:val="baseline"/>
        <w:rPr>
          <w:rFonts w:eastAsia="Times New Roman"/>
          <w:color w:val="000000"/>
          <w:sz w:val="23"/>
        </w:rPr>
      </w:pPr>
      <w:r w:rsidRPr="00C91A4B">
        <w:rPr>
          <w:rFonts w:eastAsia="Times New Roman"/>
          <w:b/>
          <w:color w:val="000000"/>
          <w:sz w:val="23"/>
        </w:rPr>
        <w:t>Parties</w:t>
      </w:r>
      <w:r>
        <w:rPr>
          <w:rFonts w:eastAsia="Times New Roman"/>
          <w:color w:val="000000"/>
          <w:sz w:val="23"/>
        </w:rPr>
        <w:t xml:space="preserve"> means Complainant(s) and Respondent(s).</w:t>
      </w:r>
    </w:p>
    <w:p w:rsidR="00C91A4B" w:rsidRDefault="00C91A4B" w:rsidP="00C91A4B">
      <w:pPr>
        <w:spacing w:before="155" w:line="286" w:lineRule="exact"/>
        <w:ind w:right="72"/>
        <w:jc w:val="both"/>
        <w:textAlignment w:val="baseline"/>
        <w:rPr>
          <w:rFonts w:eastAsia="Times New Roman"/>
          <w:b/>
          <w:color w:val="000000"/>
          <w:sz w:val="23"/>
        </w:rPr>
      </w:pPr>
      <w:r>
        <w:rPr>
          <w:rFonts w:eastAsia="Times New Roman"/>
          <w:b/>
          <w:color w:val="000000"/>
          <w:sz w:val="23"/>
        </w:rPr>
        <w:t xml:space="preserve">Respondent </w:t>
      </w:r>
      <w:r>
        <w:rPr>
          <w:rFonts w:eastAsia="Times New Roman"/>
          <w:color w:val="000000"/>
          <w:sz w:val="23"/>
        </w:rPr>
        <w:t>means an individual who has been reported to be the perpetrator of conduct that could constitute sexual harassment.</w:t>
      </w:r>
    </w:p>
    <w:p w:rsidR="00C91A4B" w:rsidRDefault="00C91A4B" w:rsidP="00C91A4B">
      <w:pPr>
        <w:spacing w:before="152" w:line="287" w:lineRule="exact"/>
        <w:ind w:right="72"/>
        <w:jc w:val="both"/>
        <w:textAlignment w:val="baseline"/>
        <w:rPr>
          <w:rFonts w:eastAsia="Times New Roman"/>
          <w:b/>
          <w:color w:val="000000"/>
          <w:sz w:val="23"/>
        </w:rPr>
      </w:pPr>
      <w:r>
        <w:rPr>
          <w:rFonts w:eastAsia="Times New Roman"/>
          <w:b/>
          <w:color w:val="000000"/>
          <w:sz w:val="23"/>
        </w:rPr>
        <w:lastRenderedPageBreak/>
        <w:t xml:space="preserve">Sexual harassment </w:t>
      </w:r>
      <w:r>
        <w:rPr>
          <w:rFonts w:eastAsia="Times New Roman"/>
          <w:color w:val="000000"/>
          <w:sz w:val="23"/>
        </w:rPr>
        <w:t>means conduct on the basis of sex that satisfies one or more of the following:</w:t>
      </w:r>
    </w:p>
    <w:p w:rsidR="00C91A4B" w:rsidRDefault="00C91A4B" w:rsidP="00C91A4B">
      <w:pPr>
        <w:numPr>
          <w:ilvl w:val="0"/>
          <w:numId w:val="7"/>
        </w:numPr>
        <w:tabs>
          <w:tab w:val="clear" w:pos="648"/>
          <w:tab w:val="left" w:pos="1368"/>
        </w:tabs>
        <w:spacing w:before="157" w:line="287" w:lineRule="exact"/>
        <w:ind w:left="1368" w:right="72" w:hanging="648"/>
        <w:jc w:val="both"/>
        <w:textAlignment w:val="baseline"/>
        <w:rPr>
          <w:rFonts w:eastAsia="Times New Roman"/>
          <w:color w:val="000000"/>
          <w:sz w:val="23"/>
        </w:rPr>
      </w:pPr>
      <w:r>
        <w:rPr>
          <w:rFonts w:eastAsia="Times New Roman"/>
          <w:color w:val="000000"/>
          <w:sz w:val="23"/>
        </w:rPr>
        <w:t>An employee of the District conditioning the provision of an aid, benefit, or service of the District on an individual's participation in unwelcome sexual conduct;</w:t>
      </w:r>
    </w:p>
    <w:p w:rsidR="00C91A4B" w:rsidRDefault="00C91A4B" w:rsidP="00C91A4B">
      <w:pPr>
        <w:numPr>
          <w:ilvl w:val="0"/>
          <w:numId w:val="7"/>
        </w:numPr>
        <w:tabs>
          <w:tab w:val="clear" w:pos="648"/>
          <w:tab w:val="left" w:pos="1368"/>
        </w:tabs>
        <w:spacing w:before="159" w:line="283" w:lineRule="exact"/>
        <w:ind w:left="1368" w:right="72" w:hanging="648"/>
        <w:jc w:val="both"/>
        <w:textAlignment w:val="baseline"/>
        <w:rPr>
          <w:rFonts w:eastAsia="Times New Roman"/>
          <w:color w:val="000000"/>
          <w:sz w:val="23"/>
        </w:rPr>
      </w:pPr>
      <w:r>
        <w:rPr>
          <w:rFonts w:eastAsia="Times New Roman"/>
          <w:color w:val="000000"/>
          <w:sz w:val="23"/>
        </w:rPr>
        <w:t>Unwelcome conduct determined by a reasonable person to be so severe, pervasive, and objectively offensive that it effectively denies a person equal access to the District's education program or activity; or</w:t>
      </w:r>
    </w:p>
    <w:p w:rsidR="00C91A4B" w:rsidRDefault="00C91A4B" w:rsidP="00C91A4B">
      <w:pPr>
        <w:numPr>
          <w:ilvl w:val="0"/>
          <w:numId w:val="7"/>
        </w:numPr>
        <w:tabs>
          <w:tab w:val="clear" w:pos="648"/>
          <w:tab w:val="left" w:pos="1368"/>
        </w:tabs>
        <w:spacing w:before="165" w:line="272" w:lineRule="exact"/>
        <w:ind w:left="1368" w:right="72" w:hanging="648"/>
        <w:jc w:val="both"/>
        <w:textAlignment w:val="baseline"/>
        <w:rPr>
          <w:rFonts w:eastAsia="Times New Roman"/>
          <w:color w:val="000000"/>
          <w:sz w:val="23"/>
        </w:rPr>
      </w:pPr>
      <w:r>
        <w:rPr>
          <w:rFonts w:eastAsia="Times New Roman"/>
          <w:color w:val="000000"/>
          <w:sz w:val="23"/>
        </w:rPr>
        <w:t>Sexual assault, dating violence, domestic violence, or stalking.</w:t>
      </w:r>
    </w:p>
    <w:p w:rsidR="00C91A4B" w:rsidRDefault="00C91A4B" w:rsidP="00C91A4B">
      <w:pPr>
        <w:spacing w:before="155" w:line="285" w:lineRule="exact"/>
        <w:ind w:right="72"/>
        <w:jc w:val="both"/>
        <w:textAlignment w:val="baseline"/>
        <w:rPr>
          <w:rFonts w:eastAsia="Times New Roman"/>
          <w:b/>
          <w:color w:val="000000"/>
          <w:sz w:val="23"/>
        </w:rPr>
      </w:pPr>
      <w:r>
        <w:rPr>
          <w:rFonts w:eastAsia="Times New Roman"/>
          <w:b/>
          <w:color w:val="000000"/>
          <w:sz w:val="23"/>
        </w:rPr>
        <w:t xml:space="preserve">Sexual assault </w:t>
      </w:r>
      <w:r>
        <w:rPr>
          <w:rFonts w:eastAsia="Times New Roman"/>
          <w:color w:val="000000"/>
          <w:sz w:val="23"/>
        </w:rPr>
        <w:t>means an offense classified as a forcible or nonforcible sex offense under the uniform crime reporting system of the Federal Bureau of Investigation.</w:t>
      </w:r>
    </w:p>
    <w:p w:rsidR="00C91A4B" w:rsidRDefault="00C91A4B" w:rsidP="00C91A4B">
      <w:pPr>
        <w:spacing w:before="170" w:line="275" w:lineRule="exact"/>
        <w:ind w:right="72"/>
        <w:textAlignment w:val="baseline"/>
        <w:rPr>
          <w:rFonts w:eastAsia="Times New Roman"/>
          <w:b/>
          <w:color w:val="000000"/>
          <w:spacing w:val="-1"/>
          <w:sz w:val="23"/>
        </w:rPr>
      </w:pPr>
      <w:r>
        <w:rPr>
          <w:rFonts w:eastAsia="Times New Roman"/>
          <w:b/>
          <w:color w:val="000000"/>
          <w:spacing w:val="-1"/>
          <w:sz w:val="23"/>
        </w:rPr>
        <w:t xml:space="preserve">Dating violence </w:t>
      </w:r>
      <w:r>
        <w:rPr>
          <w:rFonts w:eastAsia="Times New Roman"/>
          <w:color w:val="000000"/>
          <w:spacing w:val="-1"/>
          <w:sz w:val="23"/>
        </w:rPr>
        <w:t>means violence committed by a person:</w:t>
      </w:r>
    </w:p>
    <w:p w:rsidR="00C91A4B" w:rsidRDefault="00C91A4B" w:rsidP="00C91A4B">
      <w:pPr>
        <w:numPr>
          <w:ilvl w:val="0"/>
          <w:numId w:val="8"/>
        </w:numPr>
        <w:tabs>
          <w:tab w:val="clear" w:pos="648"/>
          <w:tab w:val="left" w:pos="1368"/>
        </w:tabs>
        <w:spacing w:before="156" w:line="284" w:lineRule="exact"/>
        <w:ind w:left="1368" w:right="72" w:hanging="648"/>
        <w:jc w:val="both"/>
        <w:textAlignment w:val="baseline"/>
        <w:rPr>
          <w:rFonts w:eastAsia="Times New Roman"/>
          <w:color w:val="000000"/>
          <w:sz w:val="23"/>
        </w:rPr>
      </w:pPr>
      <w:r>
        <w:rPr>
          <w:rFonts w:eastAsia="Times New Roman"/>
          <w:color w:val="000000"/>
          <w:sz w:val="23"/>
        </w:rPr>
        <w:t>Who is or has been in a social relationship of a romantic or intimate nature with the victim; and</w:t>
      </w:r>
    </w:p>
    <w:p w:rsidR="00C91A4B" w:rsidRDefault="00C91A4B" w:rsidP="00C91A4B">
      <w:pPr>
        <w:numPr>
          <w:ilvl w:val="0"/>
          <w:numId w:val="8"/>
        </w:numPr>
        <w:tabs>
          <w:tab w:val="clear" w:pos="648"/>
          <w:tab w:val="left" w:pos="1368"/>
        </w:tabs>
        <w:spacing w:before="151" w:line="287" w:lineRule="exact"/>
        <w:ind w:left="1368" w:right="72" w:hanging="648"/>
        <w:jc w:val="both"/>
        <w:textAlignment w:val="baseline"/>
        <w:rPr>
          <w:rFonts w:eastAsia="Times New Roman"/>
          <w:color w:val="000000"/>
          <w:sz w:val="23"/>
        </w:rPr>
      </w:pPr>
      <w:r>
        <w:rPr>
          <w:rFonts w:eastAsia="Times New Roman"/>
          <w:color w:val="000000"/>
          <w:sz w:val="23"/>
        </w:rPr>
        <w:t>Where the existence of such a relationship shall be determined based on a consideration of the following factors:</w:t>
      </w:r>
    </w:p>
    <w:p w:rsidR="00C91A4B" w:rsidRDefault="00C91A4B" w:rsidP="00C91A4B">
      <w:pPr>
        <w:numPr>
          <w:ilvl w:val="0"/>
          <w:numId w:val="9"/>
        </w:numPr>
        <w:tabs>
          <w:tab w:val="clear" w:pos="720"/>
          <w:tab w:val="left" w:pos="2088"/>
        </w:tabs>
        <w:spacing w:before="166" w:line="272" w:lineRule="exact"/>
        <w:ind w:left="2088" w:right="72" w:hanging="720"/>
        <w:jc w:val="both"/>
        <w:textAlignment w:val="baseline"/>
        <w:rPr>
          <w:rFonts w:eastAsia="Times New Roman"/>
          <w:color w:val="000000"/>
          <w:spacing w:val="-1"/>
          <w:sz w:val="23"/>
        </w:rPr>
      </w:pPr>
      <w:r>
        <w:rPr>
          <w:rFonts w:eastAsia="Times New Roman"/>
          <w:color w:val="000000"/>
          <w:spacing w:val="-1"/>
          <w:sz w:val="23"/>
        </w:rPr>
        <w:t>The length of the relationship.</w:t>
      </w:r>
    </w:p>
    <w:p w:rsidR="00C91A4B" w:rsidRDefault="00C91A4B" w:rsidP="00C91A4B">
      <w:pPr>
        <w:numPr>
          <w:ilvl w:val="0"/>
          <w:numId w:val="9"/>
        </w:numPr>
        <w:tabs>
          <w:tab w:val="clear" w:pos="720"/>
          <w:tab w:val="left" w:pos="2088"/>
        </w:tabs>
        <w:spacing w:before="170" w:line="272" w:lineRule="exact"/>
        <w:ind w:left="2088" w:right="72" w:hanging="720"/>
        <w:jc w:val="both"/>
        <w:textAlignment w:val="baseline"/>
        <w:rPr>
          <w:rFonts w:eastAsia="Times New Roman"/>
          <w:color w:val="000000"/>
          <w:spacing w:val="-2"/>
          <w:sz w:val="23"/>
        </w:rPr>
      </w:pPr>
      <w:r>
        <w:rPr>
          <w:rFonts w:eastAsia="Times New Roman"/>
          <w:color w:val="000000"/>
          <w:spacing w:val="-2"/>
          <w:sz w:val="23"/>
        </w:rPr>
        <w:t>The type of relationship.</w:t>
      </w:r>
    </w:p>
    <w:p w:rsidR="00C91A4B" w:rsidRDefault="00C91A4B" w:rsidP="00C91A4B">
      <w:pPr>
        <w:numPr>
          <w:ilvl w:val="0"/>
          <w:numId w:val="9"/>
        </w:numPr>
        <w:tabs>
          <w:tab w:val="clear" w:pos="720"/>
          <w:tab w:val="left" w:pos="2088"/>
        </w:tabs>
        <w:spacing w:before="159" w:line="283" w:lineRule="exact"/>
        <w:ind w:left="2088" w:right="72" w:hanging="720"/>
        <w:jc w:val="both"/>
        <w:textAlignment w:val="baseline"/>
        <w:rPr>
          <w:rFonts w:eastAsia="Times New Roman"/>
          <w:color w:val="000000"/>
          <w:sz w:val="23"/>
        </w:rPr>
      </w:pPr>
      <w:r>
        <w:rPr>
          <w:rFonts w:eastAsia="Times New Roman"/>
          <w:color w:val="000000"/>
          <w:sz w:val="23"/>
        </w:rPr>
        <w:t>The frequency of interaction between the persons involved in the relationship.</w:t>
      </w:r>
    </w:p>
    <w:p w:rsidR="00C91A4B" w:rsidRDefault="00C91A4B" w:rsidP="00C91A4B">
      <w:pPr>
        <w:spacing w:before="163" w:line="285" w:lineRule="exact"/>
        <w:ind w:right="72"/>
        <w:jc w:val="both"/>
        <w:textAlignment w:val="baseline"/>
        <w:rPr>
          <w:rFonts w:eastAsia="Times New Roman"/>
          <w:b/>
          <w:color w:val="000000"/>
          <w:spacing w:val="-2"/>
          <w:sz w:val="23"/>
        </w:rPr>
      </w:pPr>
      <w:r>
        <w:rPr>
          <w:rFonts w:eastAsia="Times New Roman"/>
          <w:b/>
          <w:color w:val="000000"/>
          <w:spacing w:val="-2"/>
          <w:sz w:val="23"/>
        </w:rPr>
        <w:t xml:space="preserve">Domestic violence </w:t>
      </w:r>
      <w:r>
        <w:rPr>
          <w:rFonts w:eastAsia="Times New Roman"/>
          <w:color w:val="000000"/>
          <w:spacing w:val="-2"/>
          <w:sz w:val="23"/>
        </w:rPr>
        <w:t>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C91A4B" w:rsidRDefault="00C91A4B" w:rsidP="00C91A4B">
      <w:pPr>
        <w:spacing w:before="151" w:line="288" w:lineRule="exact"/>
        <w:ind w:right="72"/>
        <w:jc w:val="both"/>
        <w:textAlignment w:val="baseline"/>
        <w:rPr>
          <w:rFonts w:eastAsia="Times New Roman"/>
          <w:color w:val="000000"/>
          <w:sz w:val="23"/>
        </w:rPr>
      </w:pPr>
      <w:r>
        <w:rPr>
          <w:rFonts w:eastAsia="Times New Roman"/>
          <w:b/>
          <w:color w:val="000000"/>
          <w:sz w:val="23"/>
        </w:rPr>
        <w:t xml:space="preserve">Stalking </w:t>
      </w:r>
      <w:r>
        <w:rPr>
          <w:rFonts w:eastAsia="Times New Roman"/>
          <w:color w:val="000000"/>
          <w:sz w:val="23"/>
        </w:rPr>
        <w:t>means engaging in a course of conduct directed at a specific person that would cause a reasonable person to:</w:t>
      </w:r>
    </w:p>
    <w:p w:rsidR="00C91A4B" w:rsidRPr="00C91A4B" w:rsidRDefault="00C91A4B" w:rsidP="00C91A4B">
      <w:pPr>
        <w:pStyle w:val="ListParagraph"/>
        <w:numPr>
          <w:ilvl w:val="0"/>
          <w:numId w:val="11"/>
        </w:numPr>
        <w:spacing w:before="151" w:line="288" w:lineRule="exact"/>
        <w:ind w:right="72"/>
        <w:textAlignment w:val="baseline"/>
        <w:rPr>
          <w:rFonts w:eastAsia="Times New Roman"/>
          <w:color w:val="000000"/>
          <w:sz w:val="23"/>
        </w:rPr>
      </w:pPr>
      <w:r w:rsidRPr="00C91A4B">
        <w:rPr>
          <w:rFonts w:eastAsia="Times New Roman"/>
          <w:color w:val="000000"/>
          <w:sz w:val="23"/>
        </w:rPr>
        <w:t xml:space="preserve">Fear for </w:t>
      </w:r>
      <w:r w:rsidR="00943BC0">
        <w:rPr>
          <w:rFonts w:eastAsia="Times New Roman"/>
          <w:color w:val="000000"/>
          <w:sz w:val="23"/>
        </w:rPr>
        <w:t>their</w:t>
      </w:r>
      <w:r w:rsidRPr="00C91A4B">
        <w:rPr>
          <w:rFonts w:eastAsia="Times New Roman"/>
          <w:color w:val="000000"/>
          <w:sz w:val="23"/>
        </w:rPr>
        <w:t xml:space="preserve"> safety or the safety of others, or</w:t>
      </w:r>
      <w:r>
        <w:rPr>
          <w:rFonts w:eastAsia="Times New Roman"/>
          <w:color w:val="000000"/>
          <w:sz w:val="23"/>
        </w:rPr>
        <w:br/>
      </w:r>
    </w:p>
    <w:p w:rsidR="00C91A4B" w:rsidRPr="00C91A4B" w:rsidRDefault="00C91A4B" w:rsidP="00C91A4B">
      <w:pPr>
        <w:pStyle w:val="ListParagraph"/>
        <w:numPr>
          <w:ilvl w:val="0"/>
          <w:numId w:val="11"/>
        </w:numPr>
        <w:spacing w:before="151" w:line="288" w:lineRule="exact"/>
        <w:ind w:right="72"/>
        <w:jc w:val="both"/>
        <w:textAlignment w:val="baseline"/>
        <w:rPr>
          <w:rFonts w:eastAsia="Times New Roman"/>
          <w:color w:val="000000"/>
          <w:sz w:val="23"/>
        </w:rPr>
      </w:pPr>
      <w:r w:rsidRPr="00C91A4B">
        <w:rPr>
          <w:rFonts w:eastAsia="Times New Roman"/>
          <w:color w:val="000000"/>
          <w:sz w:val="23"/>
        </w:rPr>
        <w:t>Suffer substantial emotional distress.</w:t>
      </w:r>
    </w:p>
    <w:p w:rsidR="00C91A4B" w:rsidRDefault="00C91A4B" w:rsidP="00C91A4B">
      <w:pPr>
        <w:spacing w:before="150" w:line="285" w:lineRule="exact"/>
        <w:jc w:val="both"/>
        <w:textAlignment w:val="baseline"/>
        <w:rPr>
          <w:rFonts w:eastAsia="Times New Roman"/>
          <w:color w:val="000000"/>
          <w:sz w:val="23"/>
        </w:rPr>
      </w:pPr>
      <w:r w:rsidRPr="00C91A4B">
        <w:rPr>
          <w:rFonts w:eastAsia="Times New Roman"/>
          <w:b/>
          <w:color w:val="000000"/>
          <w:sz w:val="23"/>
        </w:rPr>
        <w:t>Day</w:t>
      </w:r>
      <w:r>
        <w:rPr>
          <w:rFonts w:eastAsia="Times New Roman"/>
          <w:color w:val="000000"/>
          <w:sz w:val="23"/>
        </w:rPr>
        <w:t>, for the purpose of the calculation of days in complaint processing, except as otherwise expressly provided, shall exclude Saturdays, Sundays, and federal, state</w:t>
      </w:r>
      <w:r w:rsidR="00943BC0">
        <w:rPr>
          <w:rFonts w:eastAsia="Times New Roman"/>
          <w:color w:val="000000"/>
          <w:sz w:val="23"/>
        </w:rPr>
        <w:t>,</w:t>
      </w:r>
      <w:r>
        <w:rPr>
          <w:rFonts w:eastAsia="Times New Roman"/>
          <w:color w:val="000000"/>
          <w:sz w:val="23"/>
        </w:rPr>
        <w:t xml:space="preserve"> and school holidays or closures.</w:t>
      </w:r>
    </w:p>
    <w:p w:rsidR="00C91A4B" w:rsidRDefault="00C91A4B" w:rsidP="00C91A4B">
      <w:pPr>
        <w:spacing w:before="173" w:line="285" w:lineRule="exact"/>
        <w:jc w:val="both"/>
        <w:textAlignment w:val="baseline"/>
        <w:rPr>
          <w:rFonts w:eastAsia="Times New Roman"/>
          <w:b/>
          <w:color w:val="000000"/>
          <w:spacing w:val="-2"/>
          <w:sz w:val="23"/>
        </w:rPr>
      </w:pPr>
      <w:r>
        <w:rPr>
          <w:rFonts w:eastAsia="Times New Roman"/>
          <w:b/>
          <w:color w:val="000000"/>
          <w:spacing w:val="-2"/>
          <w:sz w:val="23"/>
        </w:rPr>
        <w:t xml:space="preserve">Supportive measures </w:t>
      </w:r>
      <w:r>
        <w:rPr>
          <w:rFonts w:eastAsia="Times New Roman"/>
          <w:color w:val="000000"/>
          <w:spacing w:val="-2"/>
          <w:sz w:val="23"/>
        </w:rPr>
        <w:t xml:space="preserve">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District's education program or </w:t>
      </w:r>
      <w:r>
        <w:rPr>
          <w:rFonts w:eastAsia="Times New Roman"/>
          <w:color w:val="000000"/>
          <w:spacing w:val="-2"/>
          <w:sz w:val="23"/>
        </w:rPr>
        <w:lastRenderedPageBreak/>
        <w:t>activity without unreasonably burdening the other party, including measures designed to protect the safety of all parties or the District's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The District must maintain as confidential any supportive measures provided to the complainant or respondent, to the extent that maintaining such confidentiality would not impair the ability of the District to provide the supportive measures. The Title IX Coordinator is responsible for coordinating the effective implementation of supportive measures.</w:t>
      </w:r>
    </w:p>
    <w:p w:rsidR="00C91A4B" w:rsidRDefault="00C91A4B" w:rsidP="00C91A4B">
      <w:pPr>
        <w:spacing w:before="160" w:line="273" w:lineRule="exact"/>
        <w:textAlignment w:val="baseline"/>
        <w:rPr>
          <w:rFonts w:ascii="Arial" w:eastAsia="Arial" w:hAnsi="Arial"/>
          <w:color w:val="000000"/>
          <w:sz w:val="24"/>
        </w:rPr>
      </w:pPr>
      <w:r w:rsidRPr="00C91A4B">
        <w:rPr>
          <w:rFonts w:eastAsia="Times New Roman"/>
          <w:b/>
          <w:color w:val="000000"/>
          <w:spacing w:val="-2"/>
          <w:sz w:val="23"/>
        </w:rPr>
        <w:t>GENERAL RESPONSE TO SEXUAL HARASSMENT</w:t>
      </w:r>
    </w:p>
    <w:p w:rsidR="00C91A4B" w:rsidRDefault="00C91A4B" w:rsidP="00C91A4B">
      <w:pPr>
        <w:spacing w:before="172" w:line="285" w:lineRule="exact"/>
        <w:jc w:val="both"/>
        <w:textAlignment w:val="baseline"/>
        <w:rPr>
          <w:rFonts w:eastAsia="Times New Roman"/>
          <w:color w:val="000000"/>
          <w:sz w:val="23"/>
        </w:rPr>
      </w:pPr>
      <w:r>
        <w:rPr>
          <w:rFonts w:eastAsia="Times New Roman"/>
          <w:color w:val="000000"/>
          <w:sz w:val="23"/>
        </w:rPr>
        <w:t>If and when the District obtains actual knowledge of sexual harassment in an education program or activity of the District against a person in the United States, it must respond promptly in a manner that is not deliberately indifferent. The District is deliberately indifferent only if its response to sexual harassment is clearly unreasonable in light of the known circumstances. "Education program or activity" includes locations, events, or circumstances over which the District exercised substantial control over both the respondent and the context in which the sexual harassment occurs. The District's response must treat complainants and respondents equitably by offering supportive measures as defined above to a complainant, and by following its grievance process before the imposition of any disciplinary sanctions or other actions that are not supportive measures against a respondent. The Title IX Coordinator must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rsidR="00C91A4B" w:rsidRDefault="00C91A4B" w:rsidP="00C91A4B">
      <w:pPr>
        <w:spacing w:before="172" w:line="290" w:lineRule="exact"/>
        <w:ind w:right="72"/>
        <w:jc w:val="both"/>
        <w:textAlignment w:val="baseline"/>
        <w:rPr>
          <w:rFonts w:eastAsia="Times New Roman"/>
          <w:color w:val="000000"/>
          <w:sz w:val="23"/>
        </w:rPr>
      </w:pPr>
      <w:r>
        <w:rPr>
          <w:rFonts w:eastAsia="Times New Roman"/>
          <w:b/>
          <w:color w:val="000000"/>
          <w:sz w:val="23"/>
        </w:rPr>
        <w:t xml:space="preserve">Response to a formal complaint. </w:t>
      </w:r>
      <w:r>
        <w:rPr>
          <w:rFonts w:eastAsia="Times New Roman"/>
          <w:color w:val="000000"/>
          <w:sz w:val="23"/>
        </w:rPr>
        <w:t>In response to a formal complaint, the District must follow its grievance process. With or without a formal complaint, the District must comply with the previous subsection.</w:t>
      </w:r>
    </w:p>
    <w:p w:rsidR="00C91A4B" w:rsidRDefault="00C91A4B" w:rsidP="00C91A4B">
      <w:pPr>
        <w:spacing w:before="173" w:line="285" w:lineRule="exact"/>
        <w:jc w:val="both"/>
        <w:textAlignment w:val="baseline"/>
        <w:rPr>
          <w:rFonts w:eastAsia="Times New Roman"/>
          <w:b/>
          <w:color w:val="000000"/>
          <w:spacing w:val="-1"/>
          <w:sz w:val="23"/>
        </w:rPr>
      </w:pPr>
      <w:r>
        <w:rPr>
          <w:rFonts w:eastAsia="Times New Roman"/>
          <w:b/>
          <w:color w:val="000000"/>
          <w:spacing w:val="-1"/>
          <w:sz w:val="23"/>
        </w:rPr>
        <w:t xml:space="preserve">Emergency removal. </w:t>
      </w:r>
      <w:r>
        <w:rPr>
          <w:rFonts w:eastAsia="Times New Roman"/>
          <w:color w:val="000000"/>
          <w:spacing w:val="-1"/>
          <w:sz w:val="23"/>
        </w:rPr>
        <w:t xml:space="preserve">Nothing in this process precludes the District from removing a respondent from the District's education program or activity on an emergency basis, provided that the District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This provision may not be construed to modify any rights under the Individuals with Disabilities Education Act, </w:t>
      </w:r>
      <w:r w:rsidRPr="00AC47A9">
        <w:rPr>
          <w:rFonts w:eastAsia="Times New Roman"/>
          <w:color w:val="000000"/>
          <w:spacing w:val="-1"/>
          <w:sz w:val="23"/>
        </w:rPr>
        <w:t xml:space="preserve">Section </w:t>
      </w:r>
      <w:r w:rsidRPr="00943BC0">
        <w:rPr>
          <w:rFonts w:eastAsia="Times New Roman"/>
          <w:color w:val="000000"/>
          <w:spacing w:val="-1"/>
          <w:sz w:val="23"/>
        </w:rPr>
        <w:t>504</w:t>
      </w:r>
      <w:r>
        <w:rPr>
          <w:rFonts w:ascii="Tahoma" w:eastAsia="Tahoma" w:hAnsi="Tahoma"/>
          <w:i/>
          <w:color w:val="000000"/>
          <w:spacing w:val="-1"/>
          <w:sz w:val="21"/>
        </w:rPr>
        <w:t xml:space="preserve"> </w:t>
      </w:r>
      <w:r>
        <w:rPr>
          <w:rFonts w:eastAsia="Times New Roman"/>
          <w:color w:val="000000"/>
          <w:spacing w:val="-1"/>
          <w:sz w:val="23"/>
        </w:rPr>
        <w:t>of the Rehabilitation Act of 1973, or the Americans with Disabilities Act.</w:t>
      </w:r>
    </w:p>
    <w:p w:rsidR="00C91A4B" w:rsidRDefault="00C91A4B" w:rsidP="00C91A4B">
      <w:pPr>
        <w:spacing w:before="159" w:line="285" w:lineRule="exact"/>
        <w:jc w:val="both"/>
        <w:textAlignment w:val="baseline"/>
        <w:rPr>
          <w:rFonts w:eastAsia="Times New Roman"/>
          <w:color w:val="000000"/>
          <w:sz w:val="23"/>
        </w:rPr>
      </w:pPr>
      <w:r>
        <w:rPr>
          <w:rFonts w:eastAsia="Times New Roman"/>
          <w:b/>
          <w:color w:val="000000"/>
          <w:sz w:val="23"/>
        </w:rPr>
        <w:t xml:space="preserve">Administrative leave. </w:t>
      </w:r>
      <w:r>
        <w:rPr>
          <w:rFonts w:eastAsia="Times New Roman"/>
          <w:color w:val="000000"/>
          <w:sz w:val="23"/>
        </w:rPr>
        <w:t xml:space="preserve">Nothing in this subpart precludes the District from placing a non-student employee respondent on administrative leave during the pendency of its grievance. This provision may not be construed to modify any rights under Section </w:t>
      </w:r>
      <w:r w:rsidRPr="00C91A4B">
        <w:rPr>
          <w:rFonts w:eastAsia="Times New Roman"/>
          <w:color w:val="000000"/>
          <w:sz w:val="23"/>
        </w:rPr>
        <w:t xml:space="preserve">504 </w:t>
      </w:r>
      <w:r>
        <w:rPr>
          <w:rFonts w:eastAsia="Times New Roman"/>
          <w:color w:val="000000"/>
          <w:sz w:val="23"/>
        </w:rPr>
        <w:t>of the Rehabilitation Act of 1973 or the Americans with Disabilities Act.</w:t>
      </w:r>
    </w:p>
    <w:p w:rsidR="00C91A4B" w:rsidRDefault="00C91A4B">
      <w:pPr>
        <w:rPr>
          <w:rFonts w:eastAsia="Times New Roman"/>
          <w:color w:val="000000"/>
          <w:sz w:val="23"/>
        </w:rPr>
      </w:pPr>
      <w:r>
        <w:rPr>
          <w:rFonts w:eastAsia="Times New Roman"/>
          <w:color w:val="000000"/>
          <w:sz w:val="23"/>
        </w:rPr>
        <w:br w:type="page"/>
      </w:r>
    </w:p>
    <w:p w:rsidR="00C91A4B" w:rsidRDefault="00C91A4B" w:rsidP="00C91A4B">
      <w:pPr>
        <w:spacing w:before="159" w:line="285" w:lineRule="exact"/>
        <w:jc w:val="both"/>
        <w:textAlignment w:val="baseline"/>
        <w:rPr>
          <w:rFonts w:eastAsia="Times New Roman"/>
          <w:b/>
          <w:color w:val="000000"/>
          <w:sz w:val="23"/>
        </w:rPr>
      </w:pPr>
    </w:p>
    <w:p w:rsidR="00C91A4B" w:rsidRDefault="00C91A4B" w:rsidP="00C91A4B">
      <w:pPr>
        <w:spacing w:before="3" w:line="437" w:lineRule="exact"/>
        <w:textAlignment w:val="baseline"/>
        <w:rPr>
          <w:rFonts w:eastAsia="Times New Roman"/>
          <w:b/>
          <w:color w:val="000000"/>
          <w:sz w:val="23"/>
        </w:rPr>
      </w:pPr>
      <w:r>
        <w:rPr>
          <w:rFonts w:eastAsia="Times New Roman"/>
          <w:b/>
          <w:color w:val="000000"/>
          <w:sz w:val="23"/>
        </w:rPr>
        <w:t xml:space="preserve">BASIC REQUIREMENTS FOR GRIEVANCE PROCESS </w:t>
      </w:r>
      <w:r>
        <w:rPr>
          <w:rFonts w:eastAsia="Times New Roman"/>
          <w:b/>
          <w:color w:val="000000"/>
          <w:sz w:val="23"/>
        </w:rPr>
        <w:br/>
      </w:r>
      <w:r>
        <w:rPr>
          <w:rFonts w:eastAsia="Times New Roman"/>
          <w:color w:val="000000"/>
          <w:sz w:val="23"/>
        </w:rPr>
        <w:t>This process requires the District to:</w:t>
      </w:r>
    </w:p>
    <w:p w:rsidR="00C91A4B" w:rsidRDefault="00C91A4B" w:rsidP="00C91A4B">
      <w:pPr>
        <w:numPr>
          <w:ilvl w:val="0"/>
          <w:numId w:val="12"/>
        </w:numPr>
        <w:tabs>
          <w:tab w:val="clear" w:pos="720"/>
          <w:tab w:val="left" w:pos="1440"/>
        </w:tabs>
        <w:spacing w:before="165" w:line="285" w:lineRule="exact"/>
        <w:ind w:left="1440" w:hanging="720"/>
        <w:jc w:val="both"/>
        <w:textAlignment w:val="baseline"/>
        <w:rPr>
          <w:rFonts w:eastAsia="Times New Roman"/>
          <w:color w:val="000000"/>
          <w:sz w:val="23"/>
        </w:rPr>
      </w:pPr>
      <w:r>
        <w:rPr>
          <w:rFonts w:eastAsia="Times New Roman"/>
          <w:color w:val="000000"/>
          <w:sz w:val="23"/>
        </w:rPr>
        <w:t>Treat complainants and respondents equitably by providing remedies to a complainant where a determination of responsibility for sexual harassment has been made against the respondent. Remedies must be designed to restore or preserve equal access to the District's education program or activity. Such remedies may include the same individualized services described elsewhere in this grievance process as "supportive measures"; however, remedies need not be non-disciplinary or non-punitive and need not avoid burdening the respondent;</w:t>
      </w:r>
    </w:p>
    <w:p w:rsidR="00C91A4B" w:rsidRDefault="00C91A4B" w:rsidP="00C91A4B">
      <w:pPr>
        <w:numPr>
          <w:ilvl w:val="0"/>
          <w:numId w:val="12"/>
        </w:numPr>
        <w:tabs>
          <w:tab w:val="clear" w:pos="720"/>
          <w:tab w:val="left" w:pos="1440"/>
        </w:tabs>
        <w:spacing w:before="158" w:line="285" w:lineRule="exact"/>
        <w:ind w:left="1440" w:hanging="720"/>
        <w:jc w:val="both"/>
        <w:textAlignment w:val="baseline"/>
        <w:rPr>
          <w:rFonts w:eastAsia="Times New Roman"/>
          <w:color w:val="000000"/>
          <w:sz w:val="23"/>
        </w:rPr>
      </w:pPr>
      <w:r>
        <w:rPr>
          <w:rFonts w:eastAsia="Times New Roman"/>
          <w:color w:val="000000"/>
          <w:sz w:val="23"/>
        </w:rPr>
        <w:t>Require an objective evaluation of all relevant evidence</w:t>
      </w:r>
      <w:r w:rsidR="00943BC0">
        <w:rPr>
          <w:rFonts w:eastAsia="Times New Roman"/>
          <w:color w:val="000000"/>
          <w:sz w:val="23"/>
        </w:rPr>
        <w:t xml:space="preserve"> -</w:t>
      </w:r>
      <w:r>
        <w:rPr>
          <w:rFonts w:ascii="Verdana" w:eastAsia="Verdana" w:hAnsi="Verdana"/>
          <w:color w:val="000000"/>
          <w:sz w:val="6"/>
        </w:rPr>
        <w:t xml:space="preserve">- </w:t>
      </w:r>
      <w:r>
        <w:rPr>
          <w:rFonts w:eastAsia="Times New Roman"/>
          <w:color w:val="000000"/>
          <w:sz w:val="23"/>
        </w:rPr>
        <w:t xml:space="preserve">including both inculpatory and exculpatory evidence </w:t>
      </w:r>
      <w:r>
        <w:rPr>
          <w:rFonts w:ascii="Verdana" w:eastAsia="Verdana" w:hAnsi="Verdana"/>
          <w:color w:val="000000"/>
          <w:sz w:val="6"/>
        </w:rPr>
        <w:t>-</w:t>
      </w:r>
      <w:r w:rsidR="00943BC0">
        <w:rPr>
          <w:rFonts w:ascii="Verdana" w:eastAsia="Verdana" w:hAnsi="Verdana"/>
          <w:color w:val="000000"/>
          <w:sz w:val="6"/>
        </w:rPr>
        <w:t xml:space="preserve">- </w:t>
      </w:r>
      <w:r>
        <w:rPr>
          <w:rFonts w:ascii="Verdana" w:eastAsia="Verdana" w:hAnsi="Verdana"/>
          <w:color w:val="000000"/>
          <w:sz w:val="6"/>
        </w:rPr>
        <w:t xml:space="preserve"> </w:t>
      </w:r>
      <w:r>
        <w:rPr>
          <w:rFonts w:eastAsia="Times New Roman"/>
          <w:color w:val="000000"/>
          <w:sz w:val="23"/>
        </w:rPr>
        <w:t>and provide that credibility determinations may not be based on a person's status as a complainant, respondent, or witness;</w:t>
      </w:r>
    </w:p>
    <w:p w:rsidR="00C91A4B" w:rsidRPr="009C3527" w:rsidRDefault="00C91A4B" w:rsidP="009C3527">
      <w:pPr>
        <w:pStyle w:val="ListParagraph"/>
        <w:numPr>
          <w:ilvl w:val="0"/>
          <w:numId w:val="12"/>
        </w:numPr>
        <w:tabs>
          <w:tab w:val="clear" w:pos="720"/>
          <w:tab w:val="left" w:pos="1440"/>
        </w:tabs>
        <w:spacing w:before="151" w:line="288" w:lineRule="exact"/>
        <w:ind w:left="1440" w:right="72" w:hanging="720"/>
        <w:jc w:val="both"/>
        <w:textAlignment w:val="baseline"/>
        <w:rPr>
          <w:rFonts w:eastAsia="Times New Roman"/>
          <w:color w:val="000000"/>
          <w:sz w:val="23"/>
        </w:rPr>
      </w:pPr>
      <w:r w:rsidRPr="009C3527">
        <w:rPr>
          <w:rFonts w:eastAsia="Times New Roman"/>
          <w:color w:val="000000"/>
          <w:sz w:val="23"/>
        </w:rPr>
        <w:t>Require that any individual designated by the District as a Title IX Coordinator, investigator, decision maker, or any person designated by the District to facilitate an informal resolution process, not have a conflict of interest or bias for or against complainants or respondents generally or an individual complainant or respondent. The District must ensure that Title IX Coordinators, investigators, decision makers, and any person who facilitates an informal resolution process, receive training on the definition of sexual harassment, the scope of the District's education program or activity, how to conduct an investigation and grievance process including hearings, appeals, and informal resolution processes, as applicable, and how to serve impartially, including by avoiding prejudgment of the facts at issue, conflicts of interest, and bias. The District must ensure that decision makers receive training on any technology to</w:t>
      </w:r>
      <w:r w:rsidR="009C3527">
        <w:rPr>
          <w:rFonts w:eastAsia="Times New Roman"/>
          <w:color w:val="000000"/>
          <w:sz w:val="23"/>
        </w:rPr>
        <w:t xml:space="preserve"> be used at a live hearing on issues </w:t>
      </w:r>
      <w:r w:rsidR="009C3527">
        <w:rPr>
          <w:rFonts w:eastAsia="Times New Roman"/>
          <w:color w:val="000000"/>
          <w:spacing w:val="-2"/>
          <w:sz w:val="23"/>
        </w:rPr>
        <w:t xml:space="preserve">of relevance of questions and evidence, including when questions and evidence about the complainant's sexual predisposition or prior sexual behavior are not relevant, as set forth elsewhere in this grievance process. The District also must ensure that investigators receive training on issues of relevance to create an investigative report that fairly summarizes relevant evidence, as set forth elsewhere in this grievance process. Any materials used to train Title IX Coordinators, investigators, decision makers, and any person who facilitates an informal resolution process, must not rely on sex stereotypes and must promote impartial investigations and adjudications of formal complaints of sexual harassment; </w:t>
      </w:r>
    </w:p>
    <w:p w:rsidR="009C3527" w:rsidRDefault="009C3527" w:rsidP="009C3527">
      <w:pPr>
        <w:numPr>
          <w:ilvl w:val="0"/>
          <w:numId w:val="12"/>
        </w:numPr>
        <w:tabs>
          <w:tab w:val="clear" w:pos="720"/>
          <w:tab w:val="left" w:pos="1440"/>
        </w:tabs>
        <w:spacing w:before="155" w:line="286" w:lineRule="exact"/>
        <w:ind w:left="1440" w:hanging="720"/>
        <w:jc w:val="both"/>
        <w:textAlignment w:val="baseline"/>
        <w:rPr>
          <w:rFonts w:eastAsia="Times New Roman"/>
          <w:color w:val="000000"/>
          <w:sz w:val="23"/>
        </w:rPr>
      </w:pPr>
      <w:r>
        <w:rPr>
          <w:rFonts w:eastAsia="Times New Roman"/>
          <w:color w:val="000000"/>
          <w:sz w:val="23"/>
        </w:rPr>
        <w:t>Include a presumption that the respondent is not responsible for the alleged conduct until a determination regarding responsibility is made at the conclusion of the grievance process;</w:t>
      </w:r>
    </w:p>
    <w:p w:rsidR="009C3527" w:rsidRDefault="009C3527" w:rsidP="009C3527">
      <w:pPr>
        <w:numPr>
          <w:ilvl w:val="0"/>
          <w:numId w:val="12"/>
        </w:numPr>
        <w:tabs>
          <w:tab w:val="clear" w:pos="720"/>
          <w:tab w:val="left" w:pos="1440"/>
        </w:tabs>
        <w:spacing w:before="154" w:line="286" w:lineRule="exact"/>
        <w:ind w:left="1440" w:hanging="720"/>
        <w:jc w:val="both"/>
        <w:textAlignment w:val="baseline"/>
        <w:rPr>
          <w:rFonts w:eastAsia="Times New Roman"/>
          <w:color w:val="000000"/>
          <w:sz w:val="23"/>
        </w:rPr>
      </w:pPr>
      <w:r>
        <w:rPr>
          <w:rFonts w:eastAsia="Times New Roman"/>
          <w:color w:val="000000"/>
          <w:sz w:val="23"/>
        </w:rPr>
        <w:t>Include reasonably prompt time frames for conclusion of the grievance process, including reasonably prompt time frames for filing and resolving appeals and informal resolution processes if the District offers informal resolution processes, and a process that allows for the temporary delay of the grievance process or the limited extension of time frames for good cause with written notice to the complainant and the respondent of the delay or extension and the reasons for the action. Good cause may include considerations such as the absence of a party, a party's advisor, or a witness; concurrent law enforcement activity; or the need for language assistance or accommodation of disabilities;</w:t>
      </w:r>
    </w:p>
    <w:p w:rsidR="009C3527" w:rsidRDefault="009C3527" w:rsidP="009C3527">
      <w:pPr>
        <w:numPr>
          <w:ilvl w:val="0"/>
          <w:numId w:val="12"/>
        </w:numPr>
        <w:tabs>
          <w:tab w:val="clear" w:pos="720"/>
          <w:tab w:val="left" w:pos="1440"/>
        </w:tabs>
        <w:spacing w:before="150" w:line="286" w:lineRule="exact"/>
        <w:ind w:left="1440" w:hanging="720"/>
        <w:jc w:val="both"/>
        <w:textAlignment w:val="baseline"/>
        <w:rPr>
          <w:rFonts w:eastAsia="Times New Roman"/>
          <w:color w:val="000000"/>
          <w:sz w:val="23"/>
        </w:rPr>
      </w:pPr>
      <w:r>
        <w:rPr>
          <w:rFonts w:eastAsia="Times New Roman"/>
          <w:color w:val="000000"/>
          <w:sz w:val="23"/>
        </w:rPr>
        <w:t>Describe the range of possible disciplinary sanctions and remedies or list the possible disciplinary sanctions and remedies that the District may implement following any determination of responsibility;</w:t>
      </w:r>
    </w:p>
    <w:p w:rsidR="009C3527" w:rsidRDefault="009C3527" w:rsidP="009C3527">
      <w:pPr>
        <w:numPr>
          <w:ilvl w:val="0"/>
          <w:numId w:val="12"/>
        </w:numPr>
        <w:tabs>
          <w:tab w:val="clear" w:pos="720"/>
          <w:tab w:val="left" w:pos="2160"/>
        </w:tabs>
        <w:spacing w:before="161" w:line="286" w:lineRule="exact"/>
        <w:ind w:left="1440" w:hanging="720"/>
        <w:jc w:val="both"/>
        <w:textAlignment w:val="baseline"/>
        <w:rPr>
          <w:rFonts w:eastAsia="Times New Roman"/>
          <w:color w:val="000000"/>
          <w:sz w:val="23"/>
        </w:rPr>
      </w:pPr>
      <w:r>
        <w:rPr>
          <w:rFonts w:eastAsia="Times New Roman"/>
          <w:color w:val="000000"/>
          <w:sz w:val="23"/>
        </w:rPr>
        <w:t>State whether the standard of evidence to be used to determine responsibility is the preponderance of the evidence standard or the clear and convincing evidence standard, apply the same standard of evidence for formal complaints against students as for formal complaints against employees, including faculty, and apply the same standard of evidence to all formal complaints of sexual harassment;</w:t>
      </w:r>
    </w:p>
    <w:p w:rsidR="009C3527" w:rsidRDefault="009C3527" w:rsidP="009C3527">
      <w:pPr>
        <w:numPr>
          <w:ilvl w:val="0"/>
          <w:numId w:val="12"/>
        </w:numPr>
        <w:tabs>
          <w:tab w:val="clear" w:pos="720"/>
          <w:tab w:val="left" w:pos="1440"/>
        </w:tabs>
        <w:spacing w:before="153" w:line="286" w:lineRule="exact"/>
        <w:ind w:left="1440" w:hanging="720"/>
        <w:jc w:val="both"/>
        <w:textAlignment w:val="baseline"/>
        <w:rPr>
          <w:rFonts w:eastAsia="Times New Roman"/>
          <w:color w:val="000000"/>
          <w:sz w:val="23"/>
        </w:rPr>
      </w:pPr>
      <w:r>
        <w:rPr>
          <w:rFonts w:eastAsia="Times New Roman"/>
          <w:color w:val="000000"/>
          <w:sz w:val="23"/>
        </w:rPr>
        <w:t>Include the procedures and permissible bases for the complainant and respondent to appeal;</w:t>
      </w:r>
    </w:p>
    <w:p w:rsidR="009C3527" w:rsidRDefault="009C3527" w:rsidP="009C3527">
      <w:pPr>
        <w:numPr>
          <w:ilvl w:val="0"/>
          <w:numId w:val="12"/>
        </w:numPr>
        <w:tabs>
          <w:tab w:val="clear" w:pos="720"/>
          <w:tab w:val="left" w:pos="1440"/>
        </w:tabs>
        <w:spacing w:before="153" w:line="286" w:lineRule="exact"/>
        <w:ind w:left="1440" w:hanging="720"/>
        <w:jc w:val="both"/>
        <w:textAlignment w:val="baseline"/>
        <w:rPr>
          <w:rFonts w:eastAsia="Times New Roman"/>
          <w:color w:val="000000"/>
          <w:sz w:val="23"/>
        </w:rPr>
      </w:pPr>
      <w:r>
        <w:rPr>
          <w:rFonts w:eastAsia="Times New Roman"/>
          <w:color w:val="000000"/>
          <w:sz w:val="23"/>
        </w:rPr>
        <w:t>Describe the range of supportive measures available to complainants and respondents; and</w:t>
      </w:r>
    </w:p>
    <w:p w:rsidR="009C3527" w:rsidRDefault="009C3527" w:rsidP="009C3527">
      <w:pPr>
        <w:numPr>
          <w:ilvl w:val="0"/>
          <w:numId w:val="12"/>
        </w:numPr>
        <w:tabs>
          <w:tab w:val="clear" w:pos="720"/>
          <w:tab w:val="left" w:pos="1440"/>
        </w:tabs>
        <w:spacing w:before="153" w:line="286" w:lineRule="exact"/>
        <w:ind w:left="1440" w:hanging="720"/>
        <w:jc w:val="both"/>
        <w:textAlignment w:val="baseline"/>
        <w:rPr>
          <w:rFonts w:eastAsia="Times New Roman"/>
          <w:color w:val="000000"/>
          <w:sz w:val="23"/>
        </w:rPr>
      </w:pPr>
      <w:r>
        <w:rPr>
          <w:rFonts w:eastAsia="Times New Roman"/>
          <w:color w:val="000000"/>
          <w:sz w:val="23"/>
        </w:rPr>
        <w:t>Not require, allow, rely upon, or otherwise use questions or evidence that constitute, or seek disclosure of, information protected under a legally recognized privilege, unless the person holding such privilege has waived the privilege.</w:t>
      </w:r>
    </w:p>
    <w:p w:rsidR="009C3527" w:rsidRPr="009C3527" w:rsidRDefault="009C3527" w:rsidP="009C3527">
      <w:pPr>
        <w:spacing w:before="3" w:line="437" w:lineRule="exact"/>
        <w:textAlignment w:val="baseline"/>
        <w:rPr>
          <w:rFonts w:eastAsia="Times New Roman"/>
          <w:b/>
          <w:color w:val="000000"/>
          <w:sz w:val="23"/>
        </w:rPr>
      </w:pPr>
      <w:r w:rsidRPr="009C3527">
        <w:rPr>
          <w:rFonts w:eastAsia="Times New Roman"/>
          <w:b/>
          <w:color w:val="000000"/>
          <w:sz w:val="23"/>
        </w:rPr>
        <w:t>PROCEDURAL REQUIREMETNS</w:t>
      </w:r>
    </w:p>
    <w:p w:rsidR="009C3527" w:rsidRPr="009C3527" w:rsidRDefault="009C3527" w:rsidP="00ED20BF">
      <w:pPr>
        <w:pStyle w:val="ListParagraph"/>
        <w:numPr>
          <w:ilvl w:val="0"/>
          <w:numId w:val="16"/>
        </w:numPr>
        <w:tabs>
          <w:tab w:val="clear" w:pos="720"/>
          <w:tab w:val="left" w:pos="1440"/>
          <w:tab w:val="left" w:pos="2088"/>
        </w:tabs>
        <w:spacing w:before="175" w:line="265" w:lineRule="exact"/>
        <w:ind w:left="1440" w:hanging="720"/>
        <w:jc w:val="both"/>
        <w:textAlignment w:val="baseline"/>
        <w:rPr>
          <w:rFonts w:eastAsia="Times New Roman"/>
          <w:color w:val="000000"/>
          <w:spacing w:val="4"/>
          <w:sz w:val="23"/>
        </w:rPr>
      </w:pPr>
      <w:r w:rsidRPr="009C3527">
        <w:rPr>
          <w:rFonts w:eastAsia="Times New Roman"/>
          <w:b/>
          <w:color w:val="000000"/>
          <w:spacing w:val="4"/>
          <w:sz w:val="23"/>
        </w:rPr>
        <w:t>Time Limits</w:t>
      </w:r>
      <w:r w:rsidRPr="009C3527">
        <w:rPr>
          <w:rFonts w:eastAsia="Times New Roman"/>
          <w:color w:val="000000"/>
          <w:spacing w:val="4"/>
          <w:sz w:val="23"/>
        </w:rPr>
        <w:t>. A complaint under this procedure should be filed as soon as possible after the time of occurrence and within 180 calendar days of the alleged violation(s) of Title IX. Failure of a complainant or appellant to comply with any time limitation in the complaint procedure may result in dismissal of the complaint and/or denial of the appeal. Dismissal shall not preclude the individual's right to pursue the complaint through other appropriate external agencies.</w:t>
      </w:r>
    </w:p>
    <w:p w:rsidR="009C3527" w:rsidRPr="009C3527" w:rsidRDefault="009C3527" w:rsidP="009C3527">
      <w:pPr>
        <w:tabs>
          <w:tab w:val="left" w:pos="1440"/>
        </w:tabs>
        <w:spacing w:before="151" w:line="265" w:lineRule="exact"/>
        <w:ind w:left="1440" w:hanging="720"/>
        <w:jc w:val="both"/>
        <w:textAlignment w:val="baseline"/>
        <w:rPr>
          <w:rFonts w:eastAsia="Times New Roman"/>
          <w:color w:val="000000"/>
          <w:sz w:val="23"/>
        </w:rPr>
      </w:pPr>
      <w:r w:rsidRPr="009C3527">
        <w:rPr>
          <w:rFonts w:eastAsia="Times New Roman"/>
          <w:color w:val="000000"/>
          <w:sz w:val="23"/>
        </w:rPr>
        <w:t>B.</w:t>
      </w:r>
      <w:r w:rsidRPr="009C3527">
        <w:rPr>
          <w:rFonts w:eastAsia="Times New Roman"/>
          <w:color w:val="000000"/>
          <w:sz w:val="23"/>
        </w:rPr>
        <w:tab/>
      </w:r>
      <w:r w:rsidRPr="009C3527">
        <w:rPr>
          <w:rFonts w:eastAsia="Times New Roman"/>
          <w:b/>
          <w:color w:val="000000"/>
          <w:sz w:val="23"/>
        </w:rPr>
        <w:t>Notice of allegations</w:t>
      </w:r>
      <w:r w:rsidRPr="009C3527">
        <w:rPr>
          <w:rFonts w:eastAsia="Times New Roman"/>
          <w:color w:val="000000"/>
          <w:sz w:val="23"/>
        </w:rPr>
        <w:t xml:space="preserve">. Upon receipt of a formal complaint, the Title IX Coordinator must provide the following written notice to the parties who are known in the form (using </w:t>
      </w:r>
      <w:r w:rsidRPr="00472826">
        <w:rPr>
          <w:rFonts w:eastAsia="Times New Roman"/>
          <w:b/>
          <w:color w:val="000000"/>
          <w:sz w:val="23"/>
        </w:rPr>
        <w:t>Attachment C</w:t>
      </w:r>
      <w:r w:rsidRPr="009C3527">
        <w:rPr>
          <w:rFonts w:eastAsia="Times New Roman"/>
          <w:color w:val="000000"/>
          <w:sz w:val="23"/>
        </w:rPr>
        <w:t>).</w:t>
      </w:r>
    </w:p>
    <w:p w:rsidR="009C3527" w:rsidRPr="009C3527" w:rsidRDefault="009C3527" w:rsidP="009C3527">
      <w:pPr>
        <w:tabs>
          <w:tab w:val="left" w:pos="1440"/>
        </w:tabs>
        <w:spacing w:before="150" w:line="272" w:lineRule="exact"/>
        <w:ind w:left="1440" w:hanging="720"/>
        <w:textAlignment w:val="baseline"/>
        <w:rPr>
          <w:rFonts w:eastAsia="Times New Roman"/>
          <w:color w:val="000000"/>
          <w:spacing w:val="-1"/>
          <w:sz w:val="23"/>
        </w:rPr>
      </w:pPr>
      <w:r w:rsidRPr="009C3527">
        <w:rPr>
          <w:rFonts w:eastAsia="Times New Roman"/>
          <w:color w:val="000000"/>
          <w:spacing w:val="-1"/>
          <w:sz w:val="23"/>
        </w:rPr>
        <w:t>C.</w:t>
      </w:r>
      <w:r w:rsidRPr="009C3527">
        <w:rPr>
          <w:rFonts w:eastAsia="Times New Roman"/>
          <w:color w:val="000000"/>
          <w:spacing w:val="-1"/>
          <w:sz w:val="23"/>
        </w:rPr>
        <w:tab/>
      </w:r>
      <w:r w:rsidRPr="009C3527">
        <w:rPr>
          <w:rFonts w:eastAsia="Times New Roman"/>
          <w:b/>
          <w:color w:val="000000"/>
          <w:spacing w:val="-1"/>
          <w:sz w:val="23"/>
        </w:rPr>
        <w:t>Dismissal of a formal complaint</w:t>
      </w:r>
      <w:r w:rsidRPr="009C3527">
        <w:rPr>
          <w:rFonts w:eastAsia="Times New Roman"/>
          <w:color w:val="000000"/>
          <w:spacing w:val="-1"/>
          <w:sz w:val="23"/>
        </w:rPr>
        <w:t>.</w:t>
      </w:r>
    </w:p>
    <w:p w:rsidR="009C3527" w:rsidRDefault="009C3527" w:rsidP="009C3527">
      <w:pPr>
        <w:numPr>
          <w:ilvl w:val="0"/>
          <w:numId w:val="15"/>
        </w:numPr>
        <w:tabs>
          <w:tab w:val="left" w:pos="2160"/>
        </w:tabs>
        <w:spacing w:before="152" w:line="265" w:lineRule="exact"/>
        <w:ind w:left="2160" w:hanging="720"/>
        <w:jc w:val="both"/>
        <w:textAlignment w:val="baseline"/>
        <w:rPr>
          <w:rFonts w:eastAsia="Times New Roman"/>
          <w:color w:val="000000"/>
          <w:sz w:val="23"/>
        </w:rPr>
      </w:pPr>
      <w:r>
        <w:rPr>
          <w:rFonts w:eastAsia="Times New Roman"/>
          <w:color w:val="000000"/>
          <w:sz w:val="23"/>
        </w:rPr>
        <w:t xml:space="preserve">The District must investigate the allegations in a formal complaint. If the conduct alleged in the formal complaint would not constitute sexual harassment as defined above even if proved or did not occur in the District's education program or activity then the District shall dismiss the formal complaint with regard to that conduct for purposes of sexual harassment under Title IX or this part; such a dismissal does not preclude action under another provision of the District's code of conduct. The District may dismiss the formal complaint or any allegations therein, if at any time during the investigation or hearing: a complainant notifies the Title </w:t>
      </w:r>
      <w:r w:rsidR="00A2563A">
        <w:rPr>
          <w:rFonts w:eastAsia="Times New Roman"/>
          <w:color w:val="000000"/>
          <w:sz w:val="23"/>
        </w:rPr>
        <w:t>I</w:t>
      </w:r>
      <w:r>
        <w:rPr>
          <w:rFonts w:eastAsia="Times New Roman"/>
          <w:color w:val="000000"/>
          <w:sz w:val="23"/>
        </w:rPr>
        <w:t>X Coordinator in writing that the complainant would like to withdraw the formal complaint or any allegations therein; the respondent is no longer enrolled or employed by the District; or specific circumstances prevent the District from gathering evidence sufficient to reach a determination as to the formal complaint or allegations therein.</w:t>
      </w:r>
    </w:p>
    <w:p w:rsidR="009C3527" w:rsidRPr="009C3527" w:rsidRDefault="009C3527" w:rsidP="009C3527">
      <w:pPr>
        <w:numPr>
          <w:ilvl w:val="0"/>
          <w:numId w:val="15"/>
        </w:numPr>
        <w:tabs>
          <w:tab w:val="left" w:pos="2160"/>
        </w:tabs>
        <w:spacing w:before="152" w:line="265" w:lineRule="exact"/>
        <w:ind w:left="2160" w:hanging="720"/>
        <w:jc w:val="both"/>
        <w:textAlignment w:val="baseline"/>
        <w:rPr>
          <w:rFonts w:eastAsia="Times New Roman"/>
          <w:color w:val="000000"/>
          <w:sz w:val="23"/>
        </w:rPr>
      </w:pPr>
      <w:r w:rsidRPr="009C3527">
        <w:rPr>
          <w:rFonts w:eastAsia="Times New Roman"/>
          <w:color w:val="000000"/>
          <w:sz w:val="23"/>
        </w:rPr>
        <w:t xml:space="preserve">Upon a dismissal required or permitted pursuant to this section, the District must promptly send written notice (using </w:t>
      </w:r>
      <w:r w:rsidRPr="00472826">
        <w:rPr>
          <w:rFonts w:eastAsia="Times New Roman"/>
          <w:b/>
          <w:color w:val="000000"/>
          <w:sz w:val="23"/>
        </w:rPr>
        <w:t>Attachment D</w:t>
      </w:r>
      <w:r w:rsidRPr="009C3527">
        <w:rPr>
          <w:rFonts w:eastAsia="Times New Roman"/>
          <w:color w:val="000000"/>
          <w:sz w:val="23"/>
        </w:rPr>
        <w:t>) of the dismissal and reason(s) therefor simultaneously to the parties.</w:t>
      </w:r>
    </w:p>
    <w:p w:rsidR="009C3527" w:rsidRDefault="009C3527" w:rsidP="009C3527">
      <w:pPr>
        <w:tabs>
          <w:tab w:val="left" w:pos="1440"/>
        </w:tabs>
        <w:spacing w:before="153" w:line="286" w:lineRule="exact"/>
        <w:ind w:left="1440" w:hanging="720"/>
        <w:jc w:val="both"/>
        <w:textAlignment w:val="baseline"/>
        <w:rPr>
          <w:rFonts w:eastAsia="Times New Roman"/>
          <w:color w:val="000000"/>
          <w:sz w:val="23"/>
        </w:rPr>
      </w:pPr>
      <w:r>
        <w:rPr>
          <w:rFonts w:eastAsia="Times New Roman"/>
          <w:color w:val="000000"/>
          <w:sz w:val="23"/>
        </w:rPr>
        <w:t>D.</w:t>
      </w:r>
      <w:r>
        <w:rPr>
          <w:rFonts w:eastAsia="Times New Roman"/>
          <w:color w:val="000000"/>
          <w:sz w:val="23"/>
        </w:rPr>
        <w:tab/>
      </w:r>
      <w:r w:rsidRPr="009C3527">
        <w:rPr>
          <w:rFonts w:eastAsia="Times New Roman"/>
          <w:b/>
          <w:color w:val="000000"/>
          <w:sz w:val="23"/>
        </w:rPr>
        <w:t xml:space="preserve">Consolidation </w:t>
      </w:r>
      <w:r>
        <w:rPr>
          <w:rFonts w:eastAsia="Times New Roman"/>
          <w:b/>
          <w:color w:val="000000"/>
          <w:sz w:val="23"/>
        </w:rPr>
        <w:t xml:space="preserve">of formal complaints. </w:t>
      </w:r>
      <w:r>
        <w:rPr>
          <w:rFonts w:eastAsia="Times New Roman"/>
          <w:color w:val="000000"/>
          <w:sz w:val="23"/>
        </w:rPr>
        <w:t>A District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Where a grievance process involves more than one complainant or more than one respondent, references in this section to the singular “party,” "complainant," or "respondent" include the plural, as applicable.</w:t>
      </w:r>
    </w:p>
    <w:p w:rsidR="009C3527" w:rsidRDefault="009C3527" w:rsidP="009C3527">
      <w:pPr>
        <w:tabs>
          <w:tab w:val="left" w:pos="1440"/>
        </w:tabs>
        <w:spacing w:before="153" w:line="286" w:lineRule="exact"/>
        <w:ind w:left="1440" w:hanging="720"/>
        <w:jc w:val="both"/>
        <w:textAlignment w:val="baseline"/>
        <w:rPr>
          <w:rFonts w:eastAsia="Times New Roman"/>
          <w:color w:val="000000"/>
          <w:spacing w:val="-1"/>
          <w:sz w:val="23"/>
        </w:rPr>
      </w:pPr>
      <w:r>
        <w:rPr>
          <w:rFonts w:eastAsia="Times New Roman"/>
          <w:color w:val="000000"/>
          <w:sz w:val="23"/>
        </w:rPr>
        <w:t xml:space="preserve">E. </w:t>
      </w:r>
      <w:r>
        <w:rPr>
          <w:rFonts w:eastAsia="Times New Roman"/>
          <w:color w:val="000000"/>
          <w:sz w:val="23"/>
        </w:rPr>
        <w:tab/>
      </w:r>
      <w:r>
        <w:rPr>
          <w:rFonts w:eastAsia="Times New Roman"/>
          <w:b/>
          <w:color w:val="000000"/>
          <w:sz w:val="23"/>
        </w:rPr>
        <w:t xml:space="preserve">Investigation of a formal complaint. </w:t>
      </w:r>
      <w:r>
        <w:rPr>
          <w:rFonts w:eastAsia="Times New Roman"/>
          <w:color w:val="000000"/>
          <w:sz w:val="23"/>
        </w:rPr>
        <w:t xml:space="preserve">When investigating a formal </w:t>
      </w:r>
      <w:r>
        <w:rPr>
          <w:rFonts w:eastAsia="Times New Roman"/>
          <w:color w:val="000000"/>
          <w:spacing w:val="-1"/>
          <w:sz w:val="23"/>
        </w:rPr>
        <w:t>complaint and throughout the grievance process, the District must:</w:t>
      </w:r>
    </w:p>
    <w:p w:rsidR="009C3527" w:rsidRPr="009C3527" w:rsidRDefault="009C3527" w:rsidP="009C3527">
      <w:pPr>
        <w:numPr>
          <w:ilvl w:val="0"/>
          <w:numId w:val="17"/>
        </w:numPr>
        <w:tabs>
          <w:tab w:val="clear" w:pos="864"/>
          <w:tab w:val="left" w:pos="2160"/>
        </w:tabs>
        <w:spacing w:before="155" w:line="265" w:lineRule="exact"/>
        <w:ind w:left="2160" w:hanging="720"/>
        <w:jc w:val="both"/>
        <w:textAlignment w:val="baseline"/>
        <w:rPr>
          <w:rFonts w:eastAsia="Times New Roman"/>
          <w:color w:val="000000"/>
          <w:sz w:val="23"/>
        </w:rPr>
      </w:pPr>
      <w:r w:rsidRPr="009C3527">
        <w:rPr>
          <w:rFonts w:eastAsia="Times New Roman"/>
          <w:color w:val="000000"/>
          <w:sz w:val="23"/>
        </w:rPr>
        <w:t>Ensure that the burden of proof and the burden of gathering evidence sufficient to reach a determination regarding responsibility rests on the District and not on the parties provided that the District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District obtains that party's voluntary, written consent to do so for a grievance process under this section (if a party is not 18 years old then the District must obtain the voluntary, written consent of the party's parent or guardian, surrogate parent or guardian ad litem);</w:t>
      </w:r>
    </w:p>
    <w:p w:rsidR="009C3527" w:rsidRDefault="009C3527" w:rsidP="009C3527">
      <w:pPr>
        <w:numPr>
          <w:ilvl w:val="0"/>
          <w:numId w:val="17"/>
        </w:numPr>
        <w:tabs>
          <w:tab w:val="clear" w:pos="864"/>
          <w:tab w:val="left" w:pos="2160"/>
        </w:tabs>
        <w:spacing w:before="151" w:line="265" w:lineRule="exact"/>
        <w:ind w:left="2160" w:hanging="720"/>
        <w:jc w:val="both"/>
        <w:textAlignment w:val="baseline"/>
        <w:rPr>
          <w:rFonts w:eastAsia="Times New Roman"/>
          <w:color w:val="000000"/>
          <w:sz w:val="23"/>
        </w:rPr>
      </w:pPr>
      <w:r>
        <w:rPr>
          <w:rFonts w:eastAsia="Times New Roman"/>
          <w:color w:val="000000"/>
          <w:sz w:val="23"/>
        </w:rPr>
        <w:t>Provide an equal opportunity for the parties to present witnesses, including fact and expert witnesses, and other inculpatory and exculpatory evidence;</w:t>
      </w:r>
    </w:p>
    <w:p w:rsidR="009C3527" w:rsidRDefault="009C3527" w:rsidP="009C3527">
      <w:pPr>
        <w:numPr>
          <w:ilvl w:val="0"/>
          <w:numId w:val="17"/>
        </w:numPr>
        <w:tabs>
          <w:tab w:val="clear" w:pos="864"/>
          <w:tab w:val="left" w:pos="2160"/>
        </w:tabs>
        <w:spacing w:before="156" w:line="265" w:lineRule="exact"/>
        <w:ind w:left="2160" w:hanging="720"/>
        <w:jc w:val="both"/>
        <w:textAlignment w:val="baseline"/>
        <w:rPr>
          <w:rFonts w:eastAsia="Times New Roman"/>
          <w:color w:val="000000"/>
          <w:sz w:val="23"/>
        </w:rPr>
      </w:pPr>
      <w:r>
        <w:rPr>
          <w:rFonts w:eastAsia="Times New Roman"/>
          <w:color w:val="000000"/>
          <w:sz w:val="23"/>
        </w:rPr>
        <w:t>Not restrict the ability of either party to discuss the allegations under investigation or to gather and present relevant evidence;</w:t>
      </w:r>
    </w:p>
    <w:p w:rsidR="009C3527" w:rsidRDefault="009C3527" w:rsidP="009C3527">
      <w:pPr>
        <w:numPr>
          <w:ilvl w:val="0"/>
          <w:numId w:val="17"/>
        </w:numPr>
        <w:tabs>
          <w:tab w:val="clear" w:pos="864"/>
          <w:tab w:val="left" w:pos="2160"/>
        </w:tabs>
        <w:spacing w:before="154" w:line="265" w:lineRule="exact"/>
        <w:ind w:left="2160" w:hanging="720"/>
        <w:jc w:val="both"/>
        <w:textAlignment w:val="baseline"/>
        <w:rPr>
          <w:rFonts w:eastAsia="Times New Roman"/>
          <w:color w:val="000000"/>
          <w:spacing w:val="-2"/>
          <w:sz w:val="23"/>
        </w:rPr>
      </w:pPr>
      <w:r>
        <w:rPr>
          <w:rFonts w:eastAsia="Times New Roman"/>
          <w:color w:val="000000"/>
          <w:spacing w:val="-2"/>
          <w:sz w:val="23"/>
        </w:rP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District may establish restrictions regarding the extent to which the advisor may participate in the proceedings, as long as the restrictions apply equally to both parties;</w:t>
      </w:r>
    </w:p>
    <w:p w:rsidR="009C3527" w:rsidRDefault="00B672C5" w:rsidP="009C3527">
      <w:pPr>
        <w:tabs>
          <w:tab w:val="left" w:pos="2160"/>
          <w:tab w:val="right" w:pos="7560"/>
        </w:tabs>
        <w:spacing w:before="152" w:line="265" w:lineRule="exact"/>
        <w:ind w:left="2160" w:hanging="720"/>
        <w:textAlignment w:val="baseline"/>
        <w:rPr>
          <w:rFonts w:eastAsia="Times New Roman"/>
          <w:color w:val="000000"/>
          <w:sz w:val="23"/>
        </w:rPr>
      </w:pPr>
      <w:r>
        <w:rPr>
          <w:rFonts w:eastAsia="Times New Roman"/>
          <w:color w:val="000000"/>
          <w:sz w:val="23"/>
        </w:rPr>
        <w:t>v</w:t>
      </w:r>
      <w:r w:rsidR="009C3527">
        <w:rPr>
          <w:rFonts w:eastAsia="Times New Roman"/>
          <w:color w:val="000000"/>
          <w:sz w:val="23"/>
        </w:rPr>
        <w:t>.</w:t>
      </w:r>
      <w:r w:rsidR="009C3527">
        <w:rPr>
          <w:rFonts w:eastAsia="Times New Roman"/>
          <w:color w:val="000000"/>
          <w:sz w:val="23"/>
        </w:rPr>
        <w:tab/>
        <w:t xml:space="preserve">Provide, to a party whose participation is invited or expected, written notice (using </w:t>
      </w:r>
      <w:r w:rsidR="009C3527">
        <w:rPr>
          <w:rFonts w:eastAsia="Times New Roman"/>
          <w:b/>
          <w:color w:val="000000"/>
          <w:sz w:val="23"/>
        </w:rPr>
        <w:t>Attachment</w:t>
      </w:r>
      <w:r w:rsidR="009C3527" w:rsidRPr="00472826">
        <w:rPr>
          <w:rFonts w:eastAsia="Times New Roman"/>
          <w:b/>
          <w:color w:val="000000"/>
          <w:sz w:val="23"/>
        </w:rPr>
        <w:t xml:space="preserve"> E</w:t>
      </w:r>
      <w:r w:rsidR="009C3527">
        <w:rPr>
          <w:rFonts w:eastAsia="Times New Roman"/>
          <w:color w:val="000000"/>
          <w:sz w:val="23"/>
        </w:rPr>
        <w:t>) of the date, time, location, participants, and purpose of all hearings, investigative interviews, or other meetings, with sufficient time for the party to prepare to participate;</w:t>
      </w:r>
    </w:p>
    <w:p w:rsidR="00B672C5" w:rsidRDefault="009C3527" w:rsidP="00682F9D">
      <w:pPr>
        <w:tabs>
          <w:tab w:val="left" w:pos="2160"/>
        </w:tabs>
        <w:spacing w:before="152" w:line="264" w:lineRule="exact"/>
        <w:ind w:left="2160" w:hanging="720"/>
        <w:textAlignment w:val="baseline"/>
        <w:rPr>
          <w:rFonts w:eastAsia="Times New Roman"/>
          <w:color w:val="000000"/>
          <w:spacing w:val="-4"/>
          <w:sz w:val="23"/>
        </w:rPr>
      </w:pPr>
      <w:r>
        <w:rPr>
          <w:rFonts w:eastAsia="Times New Roman"/>
          <w:color w:val="000000"/>
          <w:sz w:val="23"/>
        </w:rPr>
        <w:t>vi.</w:t>
      </w:r>
      <w:r>
        <w:rPr>
          <w:rFonts w:eastAsia="Times New Roman"/>
          <w:color w:val="000000"/>
          <w:sz w:val="23"/>
        </w:rPr>
        <w:tab/>
        <w:t xml:space="preserve">Provide both parties an equal opportunity to inspect and review any </w:t>
      </w:r>
      <w:r>
        <w:rPr>
          <w:rFonts w:eastAsia="Times New Roman"/>
          <w:color w:val="000000"/>
          <w:spacing w:val="-2"/>
          <w:sz w:val="23"/>
        </w:rPr>
        <w:t xml:space="preserve">evidence obtained as part of the investigation that is directly related to the allegations raised in a formal complaint, including the evidence upon which the District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District must send (using </w:t>
      </w:r>
      <w:r>
        <w:rPr>
          <w:rFonts w:eastAsia="Times New Roman"/>
          <w:b/>
          <w:color w:val="000000"/>
          <w:spacing w:val="-2"/>
          <w:sz w:val="23"/>
        </w:rPr>
        <w:t>Attachment</w:t>
      </w:r>
      <w:r w:rsidRPr="00472826">
        <w:rPr>
          <w:rFonts w:eastAsia="Times New Roman"/>
          <w:b/>
          <w:color w:val="000000"/>
          <w:spacing w:val="-2"/>
          <w:sz w:val="23"/>
        </w:rPr>
        <w:t xml:space="preserve"> F</w:t>
      </w:r>
      <w:r>
        <w:rPr>
          <w:rFonts w:eastAsia="Times New Roman"/>
          <w:color w:val="000000"/>
          <w:spacing w:val="-2"/>
          <w:sz w:val="23"/>
        </w:rPr>
        <w:t>) to</w:t>
      </w:r>
      <w:r w:rsidR="00B672C5">
        <w:rPr>
          <w:rFonts w:eastAsia="Times New Roman"/>
          <w:color w:val="000000"/>
          <w:spacing w:val="-2"/>
          <w:sz w:val="23"/>
        </w:rPr>
        <w:t xml:space="preserve">  </w:t>
      </w:r>
      <w:r w:rsidR="00B672C5">
        <w:rPr>
          <w:rFonts w:eastAsia="Times New Roman"/>
          <w:color w:val="000000"/>
          <w:spacing w:val="-4"/>
          <w:sz w:val="23"/>
        </w:rPr>
        <w:t>each party and the party's advisor, if any, the evidence subject to inspection and review in an electronic format or a hard copy, and the parties must have at least 10 days to submit a written response, which the investigator will consider prior to completion of the investigative report. The District must make all such evidence subject to the parties' inspection and review available at any hearing to give each party equal opportunity to refer to such evidence during the hearing, including for purposes of cross-examination; and</w:t>
      </w:r>
    </w:p>
    <w:p w:rsidR="00B672C5" w:rsidRPr="00682F9D" w:rsidRDefault="00B672C5" w:rsidP="00B672C5">
      <w:pPr>
        <w:tabs>
          <w:tab w:val="left" w:pos="2160"/>
        </w:tabs>
        <w:spacing w:before="163" w:line="264" w:lineRule="exact"/>
        <w:ind w:left="2160" w:hanging="720"/>
        <w:jc w:val="both"/>
        <w:textAlignment w:val="baseline"/>
        <w:rPr>
          <w:rFonts w:eastAsia="Times New Roman"/>
          <w:color w:val="000000"/>
          <w:sz w:val="23"/>
        </w:rPr>
      </w:pPr>
      <w:proofErr w:type="gramStart"/>
      <w:r>
        <w:rPr>
          <w:rFonts w:eastAsia="Times New Roman"/>
          <w:color w:val="000000"/>
          <w:sz w:val="23"/>
        </w:rPr>
        <w:t>vii.</w:t>
      </w:r>
      <w:r>
        <w:rPr>
          <w:rFonts w:eastAsia="Times New Roman"/>
          <w:color w:val="000000"/>
          <w:sz w:val="23"/>
        </w:rPr>
        <w:tab/>
        <w:t>Create an investigative report that fairly summarizes relevant evidence and, at least 10 days prior to a hearing (if a hearing is required under this section or otherwise provided) or other time of determination regarding responsibility, send to each party and the party's advisor, if any, the investigative report in an electronic format or a hard copy, for their review and written response.</w:t>
      </w:r>
      <w:proofErr w:type="gramEnd"/>
    </w:p>
    <w:p w:rsidR="00520059" w:rsidRPr="00682F9D" w:rsidRDefault="00520059" w:rsidP="00520059">
      <w:pPr>
        <w:numPr>
          <w:ilvl w:val="0"/>
          <w:numId w:val="18"/>
        </w:numPr>
        <w:tabs>
          <w:tab w:val="clear" w:pos="720"/>
          <w:tab w:val="left" w:pos="1440"/>
        </w:tabs>
        <w:spacing w:before="168" w:line="264" w:lineRule="exact"/>
        <w:ind w:left="1440" w:hanging="720"/>
        <w:jc w:val="both"/>
        <w:textAlignment w:val="baseline"/>
        <w:rPr>
          <w:rFonts w:eastAsia="Times New Roman"/>
          <w:color w:val="000000"/>
          <w:spacing w:val="-1"/>
          <w:sz w:val="23"/>
        </w:rPr>
      </w:pPr>
      <w:r w:rsidRPr="00682F9D">
        <w:rPr>
          <w:rFonts w:eastAsia="Times New Roman"/>
          <w:b/>
          <w:color w:val="000000"/>
          <w:spacing w:val="-1"/>
          <w:sz w:val="23"/>
        </w:rPr>
        <w:t>Hearings</w:t>
      </w:r>
      <w:r w:rsidRPr="00682F9D">
        <w:rPr>
          <w:rFonts w:eastAsia="Times New Roman"/>
          <w:color w:val="000000"/>
          <w:spacing w:val="-1"/>
          <w:sz w:val="23"/>
        </w:rPr>
        <w:t xml:space="preserve">. Hearings </w:t>
      </w:r>
      <w:proofErr w:type="gramStart"/>
      <w:r w:rsidRPr="00682F9D">
        <w:rPr>
          <w:rFonts w:eastAsia="Times New Roman"/>
          <w:color w:val="000000"/>
          <w:spacing w:val="-1"/>
          <w:sz w:val="23"/>
        </w:rPr>
        <w:t>will be held</w:t>
      </w:r>
      <w:proofErr w:type="gramEnd"/>
      <w:r w:rsidRPr="00682F9D">
        <w:rPr>
          <w:rFonts w:eastAsia="Times New Roman"/>
          <w:color w:val="000000"/>
          <w:spacing w:val="-1"/>
          <w:sz w:val="23"/>
        </w:rPr>
        <w:t xml:space="preserve"> at the discretion of the decision maker(s). </w:t>
      </w:r>
      <w:proofErr w:type="gramStart"/>
      <w:r w:rsidRPr="00682F9D">
        <w:rPr>
          <w:rFonts w:eastAsia="Times New Roman"/>
          <w:color w:val="000000"/>
          <w:spacing w:val="-1"/>
          <w:sz w:val="23"/>
        </w:rPr>
        <w:t>With or without a hearing, after the investigator has sent the investigative report to the parties and before reaching a determination regarding responsibility, the decision maker(s) must afford each party the opportunity to submit written, relevant questions that a party wants asked of any party or witness, provide each party with the answers, and allow for additional, limited follow-up questions from each party.</w:t>
      </w:r>
      <w:proofErr w:type="gramEnd"/>
      <w:r w:rsidRPr="00682F9D">
        <w:rPr>
          <w:rFonts w:eastAsia="Times New Roman"/>
          <w:color w:val="000000"/>
          <w:spacing w:val="-1"/>
          <w:sz w:val="23"/>
        </w:rPr>
        <w:t xml:space="preserve"> </w:t>
      </w:r>
      <w:proofErr w:type="gramStart"/>
      <w:r w:rsidRPr="00682F9D">
        <w:rPr>
          <w:rFonts w:eastAsia="Times New Roman"/>
          <w:color w:val="000000"/>
          <w:spacing w:val="-1"/>
          <w:sz w:val="23"/>
        </w:rPr>
        <w:t>With or without a hearing,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roofErr w:type="gramEnd"/>
      <w:r w:rsidRPr="00682F9D">
        <w:rPr>
          <w:rFonts w:eastAsia="Times New Roman"/>
          <w:color w:val="000000"/>
          <w:spacing w:val="-1"/>
          <w:sz w:val="23"/>
        </w:rPr>
        <w:t xml:space="preserve"> The decision maker(s) must explain to the party proposing the questions any decision to exclude a question as not relevant.</w:t>
      </w:r>
    </w:p>
    <w:p w:rsidR="00520059" w:rsidRPr="00682F9D" w:rsidRDefault="00520059" w:rsidP="00520059">
      <w:pPr>
        <w:numPr>
          <w:ilvl w:val="0"/>
          <w:numId w:val="18"/>
        </w:numPr>
        <w:tabs>
          <w:tab w:val="clear" w:pos="720"/>
          <w:tab w:val="left" w:pos="1440"/>
        </w:tabs>
        <w:spacing w:before="151" w:line="273" w:lineRule="exact"/>
        <w:ind w:left="1440" w:hanging="720"/>
        <w:jc w:val="both"/>
        <w:textAlignment w:val="baseline"/>
        <w:rPr>
          <w:rFonts w:eastAsia="Times New Roman"/>
          <w:b/>
          <w:color w:val="000000"/>
          <w:spacing w:val="-1"/>
          <w:sz w:val="23"/>
        </w:rPr>
      </w:pPr>
      <w:r w:rsidRPr="00682F9D">
        <w:rPr>
          <w:rFonts w:eastAsia="Times New Roman"/>
          <w:b/>
          <w:color w:val="000000"/>
          <w:spacing w:val="-1"/>
          <w:sz w:val="23"/>
        </w:rPr>
        <w:t>Determination regarding responsibility.</w:t>
      </w:r>
    </w:p>
    <w:p w:rsidR="00520059" w:rsidRDefault="00520059" w:rsidP="00520059">
      <w:pPr>
        <w:numPr>
          <w:ilvl w:val="0"/>
          <w:numId w:val="19"/>
        </w:numPr>
        <w:tabs>
          <w:tab w:val="clear" w:pos="720"/>
          <w:tab w:val="left" w:pos="2160"/>
        </w:tabs>
        <w:spacing w:before="152" w:line="264" w:lineRule="exact"/>
        <w:ind w:left="2160" w:hanging="720"/>
        <w:jc w:val="both"/>
        <w:textAlignment w:val="baseline"/>
        <w:rPr>
          <w:rFonts w:eastAsia="Times New Roman"/>
          <w:color w:val="000000"/>
          <w:sz w:val="23"/>
        </w:rPr>
      </w:pPr>
      <w:r>
        <w:rPr>
          <w:rFonts w:eastAsia="Times New Roman"/>
          <w:color w:val="000000"/>
          <w:sz w:val="23"/>
        </w:rPr>
        <w:t xml:space="preserve">The decision maker(s), who cannot be the same person(s) as the Title IX Coordinator or the investigator(s), must issue a written determination (using </w:t>
      </w:r>
      <w:r>
        <w:rPr>
          <w:rFonts w:eastAsia="Times New Roman"/>
          <w:b/>
          <w:color w:val="000000"/>
          <w:sz w:val="23"/>
        </w:rPr>
        <w:t>Attachment G</w:t>
      </w:r>
      <w:r>
        <w:rPr>
          <w:rFonts w:eastAsia="Times New Roman"/>
          <w:color w:val="000000"/>
          <w:sz w:val="23"/>
        </w:rPr>
        <w:t>) regarding responsibility. To reach this determination, the District must apply the clear and convincing standard of evidence.</w:t>
      </w:r>
    </w:p>
    <w:p w:rsidR="00520059" w:rsidRDefault="00520059" w:rsidP="00520059">
      <w:pPr>
        <w:numPr>
          <w:ilvl w:val="0"/>
          <w:numId w:val="19"/>
        </w:numPr>
        <w:tabs>
          <w:tab w:val="clear" w:pos="720"/>
          <w:tab w:val="left" w:pos="2160"/>
        </w:tabs>
        <w:spacing w:before="152" w:line="264" w:lineRule="exact"/>
        <w:ind w:left="2160" w:hanging="720"/>
        <w:jc w:val="both"/>
        <w:textAlignment w:val="baseline"/>
        <w:rPr>
          <w:rFonts w:eastAsia="Times New Roman"/>
          <w:color w:val="000000"/>
          <w:sz w:val="23"/>
        </w:rPr>
      </w:pPr>
      <w:r>
        <w:rPr>
          <w:rFonts w:eastAsia="Times New Roman"/>
          <w:color w:val="000000"/>
          <w:sz w:val="23"/>
        </w:rPr>
        <w:t>The written determination must include:</w:t>
      </w:r>
    </w:p>
    <w:p w:rsidR="00520059" w:rsidRDefault="00520059" w:rsidP="00520059">
      <w:pPr>
        <w:numPr>
          <w:ilvl w:val="0"/>
          <w:numId w:val="20"/>
        </w:numPr>
        <w:tabs>
          <w:tab w:val="clear" w:pos="648"/>
          <w:tab w:val="left" w:pos="2880"/>
        </w:tabs>
        <w:spacing w:before="157" w:line="264" w:lineRule="exact"/>
        <w:ind w:left="2880" w:hanging="720"/>
        <w:jc w:val="both"/>
        <w:textAlignment w:val="baseline"/>
        <w:rPr>
          <w:rFonts w:eastAsia="Times New Roman"/>
          <w:color w:val="000000"/>
          <w:sz w:val="23"/>
        </w:rPr>
      </w:pPr>
      <w:r>
        <w:rPr>
          <w:rFonts w:eastAsia="Times New Roman"/>
          <w:color w:val="000000"/>
          <w:sz w:val="23"/>
        </w:rPr>
        <w:t>Identification of the allegations potentially constituting sexual harassment;</w:t>
      </w:r>
    </w:p>
    <w:p w:rsidR="00520059" w:rsidRDefault="00520059" w:rsidP="00520059">
      <w:pPr>
        <w:numPr>
          <w:ilvl w:val="0"/>
          <w:numId w:val="20"/>
        </w:numPr>
        <w:tabs>
          <w:tab w:val="clear" w:pos="648"/>
          <w:tab w:val="left" w:pos="2880"/>
        </w:tabs>
        <w:spacing w:before="157" w:line="264" w:lineRule="exact"/>
        <w:ind w:left="2880" w:hanging="720"/>
        <w:jc w:val="both"/>
        <w:textAlignment w:val="baseline"/>
        <w:rPr>
          <w:rFonts w:eastAsia="Times New Roman"/>
          <w:color w:val="000000"/>
          <w:sz w:val="23"/>
        </w:rPr>
      </w:pPr>
      <w:r>
        <w:rPr>
          <w:rFonts w:eastAsia="Times New Roman"/>
          <w:color w:val="000000"/>
          <w:sz w:val="23"/>
        </w:rPr>
        <w:t xml:space="preserve">A description of the </w:t>
      </w:r>
      <w:r w:rsidRPr="00520059">
        <w:rPr>
          <w:rFonts w:eastAsia="Times New Roman"/>
          <w:color w:val="000000"/>
          <w:sz w:val="23"/>
        </w:rPr>
        <w:t>procedural steps taken from the receipt of the formal complaint through the determination, including</w:t>
      </w:r>
      <w:r>
        <w:rPr>
          <w:rFonts w:eastAsia="Times New Roman"/>
          <w:color w:val="000000"/>
          <w:sz w:val="23"/>
        </w:rPr>
        <w:t xml:space="preserve"> a</w:t>
      </w:r>
      <w:r w:rsidRPr="00520059">
        <w:rPr>
          <w:rFonts w:eastAsia="Times New Roman"/>
          <w:color w:val="000000"/>
          <w:sz w:val="23"/>
        </w:rPr>
        <w:t>ny notifications to the parties, interviews with parties and witnesses, site visits, methods used to gather other evidence, and hearing</w:t>
      </w:r>
      <w:r>
        <w:rPr>
          <w:rFonts w:eastAsia="Times New Roman"/>
          <w:color w:val="000000"/>
          <w:sz w:val="23"/>
        </w:rPr>
        <w:t xml:space="preserve">s held; </w:t>
      </w:r>
    </w:p>
    <w:p w:rsidR="00520059" w:rsidRDefault="00520059" w:rsidP="00520059">
      <w:pPr>
        <w:numPr>
          <w:ilvl w:val="0"/>
          <w:numId w:val="20"/>
        </w:numPr>
        <w:tabs>
          <w:tab w:val="clear" w:pos="648"/>
          <w:tab w:val="left" w:pos="2880"/>
        </w:tabs>
        <w:spacing w:before="157" w:line="264" w:lineRule="exact"/>
        <w:ind w:left="2880" w:hanging="720"/>
        <w:jc w:val="both"/>
        <w:textAlignment w:val="baseline"/>
        <w:rPr>
          <w:rFonts w:eastAsia="Times New Roman"/>
          <w:color w:val="000000"/>
          <w:sz w:val="23"/>
        </w:rPr>
      </w:pPr>
      <w:r w:rsidRPr="00520059">
        <w:rPr>
          <w:rFonts w:eastAsia="Times New Roman"/>
          <w:color w:val="000000"/>
          <w:sz w:val="23"/>
        </w:rPr>
        <w:t>Findings of fact supporting the determination;</w:t>
      </w:r>
    </w:p>
    <w:p w:rsidR="00520059" w:rsidRDefault="00520059" w:rsidP="00520059">
      <w:pPr>
        <w:numPr>
          <w:ilvl w:val="0"/>
          <w:numId w:val="20"/>
        </w:numPr>
        <w:tabs>
          <w:tab w:val="clear" w:pos="648"/>
          <w:tab w:val="left" w:pos="2880"/>
        </w:tabs>
        <w:spacing w:before="157" w:line="264" w:lineRule="exact"/>
        <w:ind w:left="2880" w:hanging="720"/>
        <w:jc w:val="both"/>
        <w:textAlignment w:val="baseline"/>
        <w:rPr>
          <w:rFonts w:eastAsia="Times New Roman"/>
          <w:color w:val="000000"/>
          <w:sz w:val="23"/>
        </w:rPr>
      </w:pPr>
      <w:r w:rsidRPr="00520059">
        <w:rPr>
          <w:rFonts w:eastAsia="Times New Roman"/>
          <w:color w:val="000000"/>
          <w:sz w:val="23"/>
        </w:rPr>
        <w:t xml:space="preserve">Conclusions regarding the application of the District's </w:t>
      </w:r>
      <w:r w:rsidR="00682F9D">
        <w:rPr>
          <w:rFonts w:eastAsia="Times New Roman"/>
          <w:color w:val="000000"/>
          <w:sz w:val="23"/>
        </w:rPr>
        <w:t>C</w:t>
      </w:r>
      <w:r w:rsidRPr="00520059">
        <w:rPr>
          <w:rFonts w:eastAsia="Times New Roman"/>
          <w:color w:val="000000"/>
          <w:sz w:val="23"/>
        </w:rPr>
        <w:t xml:space="preserve">ode of </w:t>
      </w:r>
      <w:r w:rsidR="00682F9D">
        <w:rPr>
          <w:rFonts w:eastAsia="Times New Roman"/>
          <w:color w:val="000000"/>
          <w:sz w:val="23"/>
        </w:rPr>
        <w:t>C</w:t>
      </w:r>
      <w:r w:rsidRPr="00520059">
        <w:rPr>
          <w:rFonts w:eastAsia="Times New Roman"/>
          <w:color w:val="000000"/>
          <w:sz w:val="23"/>
        </w:rPr>
        <w:t>onduct to the facts;</w:t>
      </w:r>
    </w:p>
    <w:p w:rsidR="00520059" w:rsidRDefault="00520059" w:rsidP="00520059">
      <w:pPr>
        <w:numPr>
          <w:ilvl w:val="0"/>
          <w:numId w:val="20"/>
        </w:numPr>
        <w:tabs>
          <w:tab w:val="clear" w:pos="648"/>
          <w:tab w:val="left" w:pos="2880"/>
        </w:tabs>
        <w:spacing w:before="157" w:line="264" w:lineRule="exact"/>
        <w:ind w:left="2880" w:hanging="720"/>
        <w:jc w:val="both"/>
        <w:textAlignment w:val="baseline"/>
        <w:rPr>
          <w:rFonts w:eastAsia="Times New Roman"/>
          <w:color w:val="000000"/>
          <w:sz w:val="23"/>
        </w:rPr>
      </w:pPr>
      <w:r w:rsidRPr="00520059">
        <w:rPr>
          <w:rFonts w:eastAsia="Times New Roman"/>
          <w:color w:val="000000"/>
          <w:sz w:val="23"/>
        </w:rPr>
        <w:t>A statement of, and rationale for, the result as to each allegation, including a determination regarding responsibility, any disciplinary sanctions the District imposes on the respondent, and whether remedies designed to restore or preserve equal access to the District's education program or activity will be provided by the District to the complainant; and</w:t>
      </w:r>
    </w:p>
    <w:p w:rsidR="00520059" w:rsidRDefault="00520059" w:rsidP="00E950DA">
      <w:pPr>
        <w:numPr>
          <w:ilvl w:val="0"/>
          <w:numId w:val="20"/>
        </w:numPr>
        <w:tabs>
          <w:tab w:val="clear" w:pos="648"/>
          <w:tab w:val="left" w:pos="2880"/>
        </w:tabs>
        <w:spacing w:before="157" w:line="270" w:lineRule="exact"/>
        <w:ind w:left="2880" w:hanging="720"/>
        <w:jc w:val="both"/>
        <w:textAlignment w:val="baseline"/>
        <w:rPr>
          <w:rFonts w:eastAsia="Times New Roman"/>
          <w:color w:val="000000"/>
          <w:spacing w:val="-1"/>
          <w:sz w:val="23"/>
        </w:rPr>
      </w:pPr>
      <w:r w:rsidRPr="00520059">
        <w:rPr>
          <w:rFonts w:eastAsia="Times New Roman"/>
          <w:color w:val="000000"/>
          <w:spacing w:val="6"/>
          <w:sz w:val="23"/>
        </w:rPr>
        <w:t>The District's procedures and permissible bases for the</w:t>
      </w:r>
      <w:r>
        <w:rPr>
          <w:rFonts w:eastAsia="Times New Roman"/>
          <w:color w:val="000000"/>
          <w:spacing w:val="6"/>
          <w:sz w:val="23"/>
        </w:rPr>
        <w:t xml:space="preserve"> </w:t>
      </w:r>
      <w:r w:rsidRPr="00520059">
        <w:rPr>
          <w:rFonts w:eastAsia="Times New Roman"/>
          <w:color w:val="000000"/>
          <w:spacing w:val="-1"/>
          <w:sz w:val="23"/>
        </w:rPr>
        <w:t>complainant and respondent to appeal.</w:t>
      </w:r>
    </w:p>
    <w:p w:rsidR="00841051" w:rsidRDefault="002A5526" w:rsidP="002A5526">
      <w:pPr>
        <w:numPr>
          <w:ilvl w:val="0"/>
          <w:numId w:val="19"/>
        </w:numPr>
        <w:tabs>
          <w:tab w:val="clear" w:pos="720"/>
          <w:tab w:val="left" w:pos="2160"/>
        </w:tabs>
        <w:spacing w:before="152" w:line="264" w:lineRule="exact"/>
        <w:ind w:left="2160" w:hanging="720"/>
        <w:jc w:val="both"/>
        <w:textAlignment w:val="baseline"/>
        <w:rPr>
          <w:rFonts w:eastAsia="Times New Roman"/>
          <w:color w:val="000000"/>
          <w:sz w:val="23"/>
        </w:rPr>
      </w:pPr>
      <w:r>
        <w:rPr>
          <w:rFonts w:eastAsia="Times New Roman"/>
          <w:color w:val="000000"/>
          <w:sz w:val="23"/>
        </w:rPr>
        <w:t xml:space="preserve">The District must provide the written determination to the parties simultaneously. The determination regarding responsibility becomes final either on the date that the District provides the parties with the written determination of the result of the appeal, if an appeal </w:t>
      </w:r>
      <w:proofErr w:type="gramStart"/>
      <w:r>
        <w:rPr>
          <w:rFonts w:eastAsia="Times New Roman"/>
          <w:color w:val="000000"/>
          <w:sz w:val="23"/>
        </w:rPr>
        <w:t>is filed</w:t>
      </w:r>
      <w:proofErr w:type="gramEnd"/>
      <w:r>
        <w:rPr>
          <w:rFonts w:eastAsia="Times New Roman"/>
          <w:color w:val="000000"/>
          <w:sz w:val="23"/>
        </w:rPr>
        <w:t>, or if an appeal is not filed, the date on which an appeal would no longer be considered timely.</w:t>
      </w:r>
    </w:p>
    <w:p w:rsidR="002A5526" w:rsidRDefault="002A5526" w:rsidP="002A5526">
      <w:pPr>
        <w:numPr>
          <w:ilvl w:val="0"/>
          <w:numId w:val="19"/>
        </w:numPr>
        <w:tabs>
          <w:tab w:val="clear" w:pos="720"/>
          <w:tab w:val="left" w:pos="2160"/>
        </w:tabs>
        <w:spacing w:before="152" w:line="264" w:lineRule="exact"/>
        <w:ind w:left="2160" w:hanging="720"/>
        <w:jc w:val="both"/>
        <w:textAlignment w:val="baseline"/>
        <w:rPr>
          <w:rFonts w:eastAsia="Times New Roman"/>
          <w:color w:val="000000"/>
          <w:sz w:val="23"/>
        </w:rPr>
      </w:pPr>
      <w:r>
        <w:rPr>
          <w:rFonts w:eastAsia="Times New Roman"/>
          <w:color w:val="000000"/>
          <w:sz w:val="23"/>
        </w:rPr>
        <w:t>The Title IX Coordinator is responsible for effective implementation of any remedies.</w:t>
      </w:r>
    </w:p>
    <w:p w:rsidR="008D0359" w:rsidRDefault="008D0359" w:rsidP="008D0359">
      <w:pPr>
        <w:numPr>
          <w:ilvl w:val="0"/>
          <w:numId w:val="18"/>
        </w:numPr>
        <w:tabs>
          <w:tab w:val="clear" w:pos="720"/>
          <w:tab w:val="left" w:pos="1440"/>
        </w:tabs>
        <w:spacing w:before="151" w:line="273" w:lineRule="exact"/>
        <w:ind w:left="1440" w:hanging="720"/>
        <w:jc w:val="both"/>
        <w:textAlignment w:val="baseline"/>
        <w:rPr>
          <w:rFonts w:eastAsia="Times New Roman"/>
          <w:b/>
          <w:color w:val="000000"/>
          <w:spacing w:val="-1"/>
          <w:sz w:val="23"/>
        </w:rPr>
      </w:pPr>
      <w:r>
        <w:rPr>
          <w:rFonts w:eastAsia="Times New Roman"/>
          <w:b/>
          <w:color w:val="000000"/>
          <w:spacing w:val="-1"/>
          <w:sz w:val="23"/>
        </w:rPr>
        <w:t>Appeals.</w:t>
      </w:r>
    </w:p>
    <w:p w:rsidR="008D0359" w:rsidRDefault="008D0359" w:rsidP="008D0359">
      <w:pPr>
        <w:numPr>
          <w:ilvl w:val="0"/>
          <w:numId w:val="23"/>
        </w:numPr>
        <w:tabs>
          <w:tab w:val="left" w:pos="2160"/>
        </w:tabs>
        <w:spacing w:before="152" w:line="264" w:lineRule="exact"/>
        <w:ind w:left="2160" w:hanging="720"/>
        <w:jc w:val="both"/>
        <w:textAlignment w:val="baseline"/>
        <w:rPr>
          <w:rFonts w:eastAsia="Times New Roman"/>
          <w:color w:val="000000"/>
          <w:sz w:val="23"/>
        </w:rPr>
      </w:pPr>
      <w:r>
        <w:rPr>
          <w:rFonts w:eastAsia="Times New Roman"/>
          <w:color w:val="000000"/>
          <w:sz w:val="23"/>
        </w:rPr>
        <w:t>A District must offer both parties an appeal from a determination regarding responsibility, and from a District’s dismissal of a formal complaint or any allegations therein, on the follow bases:</w:t>
      </w:r>
    </w:p>
    <w:p w:rsidR="00AE3DB5" w:rsidRDefault="00353ED5" w:rsidP="00AE3DB5">
      <w:pPr>
        <w:pStyle w:val="ListParagraph"/>
        <w:numPr>
          <w:ilvl w:val="0"/>
          <w:numId w:val="24"/>
        </w:numPr>
        <w:spacing w:before="157" w:line="264" w:lineRule="exact"/>
        <w:ind w:left="2880" w:hanging="720"/>
        <w:contextualSpacing w:val="0"/>
        <w:jc w:val="both"/>
        <w:textAlignment w:val="baseline"/>
        <w:rPr>
          <w:rFonts w:eastAsia="Times New Roman"/>
          <w:color w:val="000000"/>
          <w:sz w:val="23"/>
        </w:rPr>
      </w:pPr>
      <w:r w:rsidRPr="00AE3DB5">
        <w:rPr>
          <w:rFonts w:eastAsia="Times New Roman"/>
          <w:color w:val="000000"/>
          <w:sz w:val="23"/>
        </w:rPr>
        <w:t>Procedural irregularity that affected the outcome of the matter;</w:t>
      </w:r>
    </w:p>
    <w:p w:rsidR="00353ED5" w:rsidRPr="00AE3DB5" w:rsidRDefault="00AE3DB5" w:rsidP="00AE3DB5">
      <w:pPr>
        <w:pStyle w:val="ListParagraph"/>
        <w:numPr>
          <w:ilvl w:val="0"/>
          <w:numId w:val="24"/>
        </w:numPr>
        <w:spacing w:before="157" w:line="264" w:lineRule="exact"/>
        <w:ind w:left="2880" w:hanging="720"/>
        <w:contextualSpacing w:val="0"/>
        <w:jc w:val="both"/>
        <w:textAlignment w:val="baseline"/>
        <w:rPr>
          <w:rFonts w:eastAsia="Times New Roman"/>
          <w:color w:val="000000"/>
          <w:sz w:val="23"/>
        </w:rPr>
      </w:pPr>
      <w:r w:rsidRPr="00AE3DB5">
        <w:rPr>
          <w:rFonts w:eastAsia="Times New Roman"/>
          <w:color w:val="000000"/>
          <w:sz w:val="23"/>
        </w:rPr>
        <w:t>New evidence that was not reasonably available at the time the determination regarding responsibility or dismissal was made, that could affect the outcome of the matter</w:t>
      </w:r>
      <w:r w:rsidR="00682F9D">
        <w:rPr>
          <w:rFonts w:eastAsia="Times New Roman"/>
          <w:color w:val="000000"/>
          <w:sz w:val="23"/>
        </w:rPr>
        <w:t>;</w:t>
      </w:r>
      <w:r w:rsidRPr="00AE3DB5">
        <w:rPr>
          <w:rFonts w:eastAsia="Times New Roman"/>
          <w:color w:val="000000"/>
          <w:sz w:val="23"/>
        </w:rPr>
        <w:t xml:space="preserve"> and</w:t>
      </w:r>
    </w:p>
    <w:p w:rsidR="00AE3DB5" w:rsidRDefault="00AE3DB5" w:rsidP="00AE3DB5">
      <w:pPr>
        <w:pStyle w:val="ListParagraph"/>
        <w:numPr>
          <w:ilvl w:val="0"/>
          <w:numId w:val="24"/>
        </w:numPr>
        <w:spacing w:before="157" w:line="264" w:lineRule="exact"/>
        <w:ind w:left="2880" w:hanging="720"/>
        <w:contextualSpacing w:val="0"/>
        <w:jc w:val="both"/>
        <w:textAlignment w:val="baseline"/>
        <w:rPr>
          <w:rFonts w:eastAsia="Times New Roman"/>
          <w:color w:val="000000"/>
          <w:sz w:val="23"/>
        </w:rPr>
      </w:pPr>
      <w:r>
        <w:rPr>
          <w:rFonts w:eastAsia="Times New Roman"/>
          <w:color w:val="000000"/>
          <w:sz w:val="23"/>
        </w:rPr>
        <w:t xml:space="preserve">The Title IX Coordinator, investigator(s), or decision maker(s) had a conflict of interest or bias for or against complainants or respondents generally or the individual complainant or respondent that affected the outcome of the matter.  </w:t>
      </w:r>
    </w:p>
    <w:p w:rsidR="00AE3DB5" w:rsidRDefault="00AE3DB5" w:rsidP="00AE3DB5">
      <w:pPr>
        <w:pStyle w:val="ListParagraph"/>
        <w:numPr>
          <w:ilvl w:val="0"/>
          <w:numId w:val="23"/>
        </w:numPr>
        <w:spacing w:before="157" w:line="264" w:lineRule="exact"/>
        <w:contextualSpacing w:val="0"/>
        <w:jc w:val="both"/>
        <w:textAlignment w:val="baseline"/>
        <w:rPr>
          <w:rFonts w:eastAsia="Times New Roman"/>
          <w:color w:val="000000"/>
          <w:sz w:val="23"/>
        </w:rPr>
      </w:pPr>
      <w:r>
        <w:rPr>
          <w:rFonts w:eastAsia="Times New Roman"/>
          <w:color w:val="000000"/>
          <w:sz w:val="23"/>
        </w:rPr>
        <w:t>A District may offer an appeal equally to both parties on additional bases.</w:t>
      </w:r>
    </w:p>
    <w:p w:rsidR="00AE3DB5" w:rsidRDefault="00AE3DB5" w:rsidP="00AE3DB5">
      <w:pPr>
        <w:pStyle w:val="ListParagraph"/>
        <w:numPr>
          <w:ilvl w:val="0"/>
          <w:numId w:val="23"/>
        </w:numPr>
        <w:spacing w:before="157" w:line="264" w:lineRule="exact"/>
        <w:contextualSpacing w:val="0"/>
        <w:jc w:val="both"/>
        <w:textAlignment w:val="baseline"/>
        <w:rPr>
          <w:rFonts w:eastAsia="Times New Roman"/>
          <w:color w:val="000000"/>
          <w:sz w:val="23"/>
        </w:rPr>
      </w:pPr>
      <w:r>
        <w:rPr>
          <w:rFonts w:eastAsia="Times New Roman"/>
          <w:color w:val="000000"/>
          <w:sz w:val="23"/>
        </w:rPr>
        <w:t>As to all appeals, the District must:</w:t>
      </w:r>
    </w:p>
    <w:p w:rsidR="00AE3DB5" w:rsidRDefault="00AE3DB5" w:rsidP="00AE3DB5">
      <w:pPr>
        <w:pStyle w:val="ListParagraph"/>
        <w:numPr>
          <w:ilvl w:val="0"/>
          <w:numId w:val="25"/>
        </w:numPr>
        <w:spacing w:before="157" w:line="264" w:lineRule="exact"/>
        <w:ind w:left="2880" w:hanging="720"/>
        <w:contextualSpacing w:val="0"/>
        <w:jc w:val="both"/>
        <w:textAlignment w:val="baseline"/>
        <w:rPr>
          <w:rFonts w:eastAsia="Times New Roman"/>
          <w:color w:val="000000"/>
          <w:sz w:val="23"/>
        </w:rPr>
      </w:pPr>
      <w:r>
        <w:rPr>
          <w:rFonts w:eastAsia="Times New Roman"/>
          <w:color w:val="000000"/>
          <w:sz w:val="23"/>
        </w:rPr>
        <w:t xml:space="preserve">Notify (using </w:t>
      </w:r>
      <w:r w:rsidRPr="00472826">
        <w:rPr>
          <w:rFonts w:eastAsia="Times New Roman"/>
          <w:b/>
          <w:color w:val="000000"/>
          <w:sz w:val="23"/>
        </w:rPr>
        <w:t>Attachment H</w:t>
      </w:r>
      <w:r>
        <w:rPr>
          <w:rFonts w:eastAsia="Times New Roman"/>
          <w:color w:val="000000"/>
          <w:sz w:val="23"/>
        </w:rPr>
        <w:t>) the other party in writing when an appeal is filed and implement appeal procedures equally for both parties;</w:t>
      </w:r>
    </w:p>
    <w:p w:rsidR="00AE3DB5" w:rsidRDefault="00AE3DB5" w:rsidP="00AE3DB5">
      <w:pPr>
        <w:pStyle w:val="ListParagraph"/>
        <w:numPr>
          <w:ilvl w:val="0"/>
          <w:numId w:val="25"/>
        </w:numPr>
        <w:spacing w:before="157" w:line="264" w:lineRule="exact"/>
        <w:ind w:left="2880" w:hanging="720"/>
        <w:contextualSpacing w:val="0"/>
        <w:jc w:val="both"/>
        <w:textAlignment w:val="baseline"/>
        <w:rPr>
          <w:rFonts w:eastAsia="Times New Roman"/>
          <w:color w:val="000000"/>
          <w:sz w:val="23"/>
        </w:rPr>
      </w:pPr>
      <w:r>
        <w:rPr>
          <w:rFonts w:eastAsia="Times New Roman"/>
          <w:color w:val="000000"/>
          <w:sz w:val="23"/>
        </w:rPr>
        <w:t>Ensure that the decision maker(s) for the appeal is not the same person as the decision maker(s) that reached the determination regarding responsibility or dismissal, the investigator(s), or the Title IX Coordinator</w:t>
      </w:r>
      <w:r w:rsidR="00682F9D">
        <w:rPr>
          <w:rFonts w:eastAsia="Times New Roman"/>
          <w:color w:val="000000"/>
          <w:sz w:val="23"/>
        </w:rPr>
        <w:t>;</w:t>
      </w:r>
    </w:p>
    <w:p w:rsidR="00AE3DB5" w:rsidRDefault="00AE3DB5" w:rsidP="00AE3DB5">
      <w:pPr>
        <w:pStyle w:val="ListParagraph"/>
        <w:numPr>
          <w:ilvl w:val="0"/>
          <w:numId w:val="25"/>
        </w:numPr>
        <w:spacing w:before="157" w:line="264" w:lineRule="exact"/>
        <w:ind w:left="2880" w:hanging="720"/>
        <w:contextualSpacing w:val="0"/>
        <w:jc w:val="both"/>
        <w:textAlignment w:val="baseline"/>
        <w:rPr>
          <w:rFonts w:eastAsia="Times New Roman"/>
          <w:color w:val="000000"/>
          <w:sz w:val="23"/>
        </w:rPr>
      </w:pPr>
      <w:r>
        <w:rPr>
          <w:rFonts w:eastAsia="Times New Roman"/>
          <w:color w:val="000000"/>
          <w:sz w:val="23"/>
        </w:rPr>
        <w:t>Ensure that the decision maker(s) for the appeal complies with this section</w:t>
      </w:r>
      <w:r w:rsidR="00682F9D">
        <w:rPr>
          <w:rFonts w:eastAsia="Times New Roman"/>
          <w:color w:val="000000"/>
          <w:sz w:val="23"/>
        </w:rPr>
        <w:t>;</w:t>
      </w:r>
    </w:p>
    <w:p w:rsidR="00AE3DB5" w:rsidRDefault="00AE3DB5" w:rsidP="00AE3DB5">
      <w:pPr>
        <w:pStyle w:val="ListParagraph"/>
        <w:numPr>
          <w:ilvl w:val="0"/>
          <w:numId w:val="25"/>
        </w:numPr>
        <w:spacing w:before="157" w:line="264" w:lineRule="exact"/>
        <w:ind w:left="2880" w:hanging="720"/>
        <w:contextualSpacing w:val="0"/>
        <w:jc w:val="both"/>
        <w:textAlignment w:val="baseline"/>
        <w:rPr>
          <w:rFonts w:eastAsia="Times New Roman"/>
          <w:color w:val="000000"/>
          <w:sz w:val="23"/>
        </w:rPr>
      </w:pPr>
      <w:r>
        <w:rPr>
          <w:rFonts w:eastAsia="Times New Roman"/>
          <w:color w:val="000000"/>
          <w:sz w:val="23"/>
        </w:rPr>
        <w:t xml:space="preserve">Give both parties a reasonable, equal opportunity to submit a written statement in support of, or challenging, the outcome; </w:t>
      </w:r>
    </w:p>
    <w:p w:rsidR="00AE3DB5" w:rsidRDefault="00AE3DB5" w:rsidP="00AE3DB5">
      <w:pPr>
        <w:pStyle w:val="ListParagraph"/>
        <w:numPr>
          <w:ilvl w:val="0"/>
          <w:numId w:val="25"/>
        </w:numPr>
        <w:spacing w:before="157" w:line="264" w:lineRule="exact"/>
        <w:ind w:left="2880" w:hanging="720"/>
        <w:contextualSpacing w:val="0"/>
        <w:jc w:val="both"/>
        <w:textAlignment w:val="baseline"/>
        <w:rPr>
          <w:rFonts w:eastAsia="Times New Roman"/>
          <w:color w:val="000000"/>
          <w:sz w:val="23"/>
        </w:rPr>
      </w:pPr>
      <w:r>
        <w:rPr>
          <w:rFonts w:eastAsia="Times New Roman"/>
          <w:color w:val="000000"/>
          <w:sz w:val="23"/>
        </w:rPr>
        <w:t xml:space="preserve">Issue a written decision describing the result of the appeal and the rationale for the result; and </w:t>
      </w:r>
    </w:p>
    <w:p w:rsidR="00AE3DB5" w:rsidRDefault="00AE3DB5" w:rsidP="00AE3DB5">
      <w:pPr>
        <w:pStyle w:val="ListParagraph"/>
        <w:numPr>
          <w:ilvl w:val="0"/>
          <w:numId w:val="25"/>
        </w:numPr>
        <w:spacing w:before="168" w:line="264" w:lineRule="exact"/>
        <w:ind w:left="2880" w:hanging="720"/>
        <w:contextualSpacing w:val="0"/>
        <w:jc w:val="both"/>
        <w:textAlignment w:val="baseline"/>
        <w:rPr>
          <w:rFonts w:eastAsia="Times New Roman"/>
          <w:color w:val="000000"/>
          <w:sz w:val="23"/>
        </w:rPr>
      </w:pPr>
      <w:r>
        <w:rPr>
          <w:rFonts w:eastAsia="Times New Roman"/>
          <w:color w:val="000000"/>
          <w:sz w:val="23"/>
        </w:rPr>
        <w:t>Provide the written decision simultaneously to both parties.</w:t>
      </w:r>
    </w:p>
    <w:p w:rsidR="00AE3DB5" w:rsidRDefault="00AE3DB5" w:rsidP="008214E8">
      <w:pPr>
        <w:pStyle w:val="ListParagraph"/>
        <w:numPr>
          <w:ilvl w:val="1"/>
          <w:numId w:val="23"/>
        </w:numPr>
        <w:spacing w:before="168" w:line="264" w:lineRule="exact"/>
        <w:ind w:hanging="720"/>
        <w:contextualSpacing w:val="0"/>
        <w:jc w:val="both"/>
        <w:textAlignment w:val="baseline"/>
        <w:rPr>
          <w:rFonts w:eastAsia="Times New Roman"/>
          <w:color w:val="000000"/>
          <w:sz w:val="23"/>
        </w:rPr>
      </w:pPr>
      <w:r w:rsidRPr="00AE3DB5">
        <w:rPr>
          <w:rFonts w:eastAsia="Times New Roman"/>
          <w:b/>
          <w:color w:val="000000"/>
          <w:sz w:val="23"/>
        </w:rPr>
        <w:t xml:space="preserve">Informal resolution.  </w:t>
      </w:r>
      <w:r w:rsidRPr="00AE3DB5">
        <w:rPr>
          <w:rFonts w:eastAsia="Times New Roman"/>
          <w:color w:val="000000"/>
          <w:sz w:val="23"/>
        </w:rPr>
        <w:t>A District may not require as a condition of enrollment or continuing enrollment, or employment or continuing employment, or enjoyment of any other right, waiver of the right to an investigation and adjudication of formal complaints of sexual harassment consistent with this section. Similarly, a District may not require the parties to participate in an informal resolution process under this section and may not offer an informal resolution process unless a formal complaint is filed. However, at any time prior to reaching a determination regarding responsibility the District may facilitate an informal resolution process, such as mediation, that does not involve a full investigation and adjudication, provided that the District:</w:t>
      </w:r>
    </w:p>
    <w:p w:rsidR="008214E8" w:rsidRDefault="00AE3DB5" w:rsidP="008214E8">
      <w:pPr>
        <w:pStyle w:val="ListParagraph"/>
        <w:numPr>
          <w:ilvl w:val="0"/>
          <w:numId w:val="26"/>
        </w:numPr>
        <w:spacing w:before="168" w:line="264" w:lineRule="exact"/>
        <w:contextualSpacing w:val="0"/>
        <w:jc w:val="both"/>
        <w:textAlignment w:val="baseline"/>
        <w:rPr>
          <w:rFonts w:eastAsia="Times New Roman"/>
          <w:color w:val="000000"/>
          <w:sz w:val="23"/>
        </w:rPr>
      </w:pPr>
      <w:r w:rsidRPr="008214E8">
        <w:rPr>
          <w:rFonts w:eastAsia="Times New Roman"/>
          <w:color w:val="000000"/>
          <w:sz w:val="23"/>
        </w:rPr>
        <w:t xml:space="preserve">Provides to the parties a written notice (using </w:t>
      </w:r>
      <w:r w:rsidRPr="008214E8">
        <w:rPr>
          <w:rFonts w:eastAsia="Times New Roman"/>
          <w:b/>
          <w:color w:val="000000"/>
          <w:sz w:val="23"/>
        </w:rPr>
        <w:t xml:space="preserve">Attachment </w:t>
      </w:r>
      <w:r w:rsidR="00682F9D">
        <w:rPr>
          <w:rFonts w:eastAsia="Times New Roman"/>
          <w:b/>
          <w:color w:val="000000"/>
          <w:sz w:val="23"/>
        </w:rPr>
        <w:t>I</w:t>
      </w:r>
      <w:r w:rsidRPr="008214E8">
        <w:rPr>
          <w:rFonts w:eastAsia="Times New Roman"/>
          <w:color w:val="000000"/>
          <w:sz w:val="23"/>
        </w:rPr>
        <w:t>) disclosing: 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any consequences resulting from participating in the informal resolution process, including the records that will be maintained or could be shared;</w:t>
      </w:r>
    </w:p>
    <w:p w:rsidR="00AE3DB5" w:rsidRPr="008214E8" w:rsidRDefault="00AE3DB5" w:rsidP="008214E8">
      <w:pPr>
        <w:pStyle w:val="ListParagraph"/>
        <w:numPr>
          <w:ilvl w:val="0"/>
          <w:numId w:val="26"/>
        </w:numPr>
        <w:spacing w:before="168" w:line="264" w:lineRule="exact"/>
        <w:contextualSpacing w:val="0"/>
        <w:jc w:val="both"/>
        <w:textAlignment w:val="baseline"/>
        <w:rPr>
          <w:rFonts w:eastAsia="Times New Roman"/>
          <w:color w:val="000000"/>
          <w:sz w:val="23"/>
        </w:rPr>
      </w:pPr>
      <w:r w:rsidRPr="008214E8">
        <w:rPr>
          <w:rFonts w:eastAsia="Times New Roman"/>
          <w:color w:val="000000"/>
          <w:sz w:val="23"/>
        </w:rPr>
        <w:t>Obtains the parties' voluntary, written consent to the informal resolution process; and</w:t>
      </w:r>
    </w:p>
    <w:p w:rsidR="00AE3DB5" w:rsidRDefault="00AE3DB5" w:rsidP="008214E8">
      <w:pPr>
        <w:pStyle w:val="ListParagraph"/>
        <w:numPr>
          <w:ilvl w:val="0"/>
          <w:numId w:val="26"/>
        </w:numPr>
        <w:spacing w:before="168" w:line="264" w:lineRule="exact"/>
        <w:contextualSpacing w:val="0"/>
        <w:jc w:val="both"/>
        <w:textAlignment w:val="baseline"/>
        <w:rPr>
          <w:rFonts w:eastAsia="Times New Roman"/>
          <w:color w:val="000000"/>
          <w:sz w:val="23"/>
        </w:rPr>
      </w:pPr>
      <w:r w:rsidRPr="008214E8">
        <w:rPr>
          <w:rFonts w:eastAsia="Times New Roman"/>
          <w:color w:val="000000"/>
          <w:sz w:val="23"/>
        </w:rPr>
        <w:t>Does not offer or facilitate an informal resolution process to resolve allegations that an employee sexually harassed a student.</w:t>
      </w:r>
    </w:p>
    <w:p w:rsidR="008214E8" w:rsidRPr="008214E8" w:rsidRDefault="008214E8" w:rsidP="008214E8">
      <w:pPr>
        <w:pStyle w:val="ListParagraph"/>
        <w:spacing w:before="168" w:line="264" w:lineRule="exact"/>
        <w:ind w:left="2160"/>
        <w:jc w:val="both"/>
        <w:textAlignment w:val="baseline"/>
        <w:rPr>
          <w:rFonts w:eastAsia="Times New Roman"/>
          <w:color w:val="000000"/>
          <w:sz w:val="23"/>
        </w:rPr>
      </w:pPr>
    </w:p>
    <w:p w:rsidR="008D0ED8" w:rsidRDefault="008D0ED8" w:rsidP="008D0ED8">
      <w:pPr>
        <w:pStyle w:val="ListParagraph"/>
        <w:numPr>
          <w:ilvl w:val="0"/>
          <w:numId w:val="27"/>
        </w:numPr>
        <w:tabs>
          <w:tab w:val="left" w:pos="720"/>
        </w:tabs>
        <w:spacing w:before="168" w:line="264" w:lineRule="exact"/>
        <w:ind w:left="1440" w:hanging="720"/>
        <w:contextualSpacing w:val="0"/>
        <w:jc w:val="both"/>
        <w:textAlignment w:val="baseline"/>
        <w:rPr>
          <w:rFonts w:eastAsia="Times New Roman"/>
          <w:b/>
          <w:color w:val="000000"/>
          <w:sz w:val="23"/>
        </w:rPr>
      </w:pPr>
      <w:r w:rsidRPr="008D0ED8">
        <w:rPr>
          <w:rFonts w:eastAsia="Times New Roman"/>
          <w:b/>
          <w:color w:val="000000"/>
          <w:sz w:val="23"/>
        </w:rPr>
        <w:t>Recordkeeping.</w:t>
      </w:r>
    </w:p>
    <w:p w:rsidR="008D0ED8" w:rsidRPr="008D0ED8" w:rsidRDefault="008D0ED8" w:rsidP="008D0ED8">
      <w:pPr>
        <w:pStyle w:val="ListParagraph"/>
        <w:numPr>
          <w:ilvl w:val="0"/>
          <w:numId w:val="28"/>
        </w:numPr>
        <w:tabs>
          <w:tab w:val="left" w:pos="2160"/>
        </w:tabs>
        <w:spacing w:before="168" w:line="264" w:lineRule="exact"/>
        <w:ind w:left="2160" w:hanging="720"/>
        <w:contextualSpacing w:val="0"/>
        <w:jc w:val="both"/>
        <w:textAlignment w:val="baseline"/>
        <w:rPr>
          <w:rFonts w:eastAsia="Times New Roman"/>
          <w:color w:val="000000"/>
          <w:sz w:val="23"/>
        </w:rPr>
      </w:pPr>
      <w:r w:rsidRPr="008D0ED8">
        <w:rPr>
          <w:rFonts w:eastAsia="Times New Roman"/>
          <w:color w:val="000000"/>
          <w:sz w:val="23"/>
        </w:rPr>
        <w:t>The District must maintain for a period of seven years records of:</w:t>
      </w:r>
    </w:p>
    <w:p w:rsidR="008D0ED8" w:rsidRPr="008D0ED8" w:rsidRDefault="008D0ED8" w:rsidP="008D0ED8">
      <w:pPr>
        <w:pStyle w:val="ListParagraph"/>
        <w:numPr>
          <w:ilvl w:val="1"/>
          <w:numId w:val="28"/>
        </w:numPr>
        <w:tabs>
          <w:tab w:val="left" w:pos="2160"/>
          <w:tab w:val="left" w:pos="2880"/>
        </w:tabs>
        <w:spacing w:before="168" w:line="264" w:lineRule="exact"/>
        <w:ind w:left="2880" w:hanging="720"/>
        <w:contextualSpacing w:val="0"/>
        <w:jc w:val="both"/>
        <w:textAlignment w:val="baseline"/>
        <w:rPr>
          <w:rFonts w:eastAsia="Times New Roman"/>
          <w:color w:val="000000"/>
          <w:sz w:val="23"/>
        </w:rPr>
      </w:pPr>
      <w:r w:rsidRPr="008D0ED8">
        <w:rPr>
          <w:rFonts w:eastAsia="Times New Roman"/>
          <w:color w:val="000000"/>
          <w:sz w:val="23"/>
        </w:rPr>
        <w:t>Each sexual harassment investigation including any determination regarding responsibility, any disciplinary sanctions imposed on the respondent, and any remedies provided to the complainant designed to restore or preserve equal access to the District’s education program or activity;</w:t>
      </w:r>
    </w:p>
    <w:p w:rsidR="008D0ED8" w:rsidRPr="008D0ED8" w:rsidRDefault="008D0ED8" w:rsidP="008D0ED8">
      <w:pPr>
        <w:pStyle w:val="ListParagraph"/>
        <w:numPr>
          <w:ilvl w:val="1"/>
          <w:numId w:val="28"/>
        </w:numPr>
        <w:tabs>
          <w:tab w:val="left" w:pos="2160"/>
          <w:tab w:val="left" w:pos="2880"/>
        </w:tabs>
        <w:spacing w:before="168" w:line="264" w:lineRule="exact"/>
        <w:ind w:left="2880" w:hanging="720"/>
        <w:contextualSpacing w:val="0"/>
        <w:jc w:val="both"/>
        <w:textAlignment w:val="baseline"/>
        <w:rPr>
          <w:rFonts w:eastAsia="Times New Roman"/>
          <w:color w:val="000000"/>
          <w:sz w:val="23"/>
        </w:rPr>
      </w:pPr>
      <w:r w:rsidRPr="008D0ED8">
        <w:rPr>
          <w:rFonts w:eastAsia="Times New Roman"/>
          <w:color w:val="000000"/>
          <w:sz w:val="23"/>
        </w:rPr>
        <w:t>Any appeal and the result therefrom;</w:t>
      </w:r>
    </w:p>
    <w:p w:rsidR="008D0ED8" w:rsidRPr="008D0ED8" w:rsidRDefault="008D0ED8" w:rsidP="008D0ED8">
      <w:pPr>
        <w:pStyle w:val="ListParagraph"/>
        <w:numPr>
          <w:ilvl w:val="1"/>
          <w:numId w:val="28"/>
        </w:numPr>
        <w:tabs>
          <w:tab w:val="left" w:pos="2160"/>
          <w:tab w:val="left" w:pos="2880"/>
        </w:tabs>
        <w:spacing w:before="168" w:line="264" w:lineRule="exact"/>
        <w:ind w:left="2880" w:hanging="720"/>
        <w:contextualSpacing w:val="0"/>
        <w:jc w:val="both"/>
        <w:textAlignment w:val="baseline"/>
        <w:rPr>
          <w:rFonts w:eastAsia="Times New Roman"/>
          <w:color w:val="000000"/>
          <w:sz w:val="23"/>
        </w:rPr>
      </w:pPr>
      <w:r w:rsidRPr="008D0ED8">
        <w:rPr>
          <w:rFonts w:eastAsia="Times New Roman"/>
          <w:color w:val="000000"/>
          <w:sz w:val="23"/>
        </w:rPr>
        <w:t>Any informal resolution and the result therefrom; and</w:t>
      </w:r>
    </w:p>
    <w:p w:rsidR="008D0ED8" w:rsidRPr="008D0ED8" w:rsidRDefault="008D0ED8" w:rsidP="008D0ED8">
      <w:pPr>
        <w:pStyle w:val="ListParagraph"/>
        <w:numPr>
          <w:ilvl w:val="1"/>
          <w:numId w:val="28"/>
        </w:numPr>
        <w:tabs>
          <w:tab w:val="left" w:pos="2160"/>
          <w:tab w:val="left" w:pos="2880"/>
        </w:tabs>
        <w:spacing w:before="168" w:line="264" w:lineRule="exact"/>
        <w:ind w:left="2880" w:hanging="720"/>
        <w:contextualSpacing w:val="0"/>
        <w:jc w:val="both"/>
        <w:textAlignment w:val="baseline"/>
        <w:rPr>
          <w:rFonts w:eastAsia="Times New Roman"/>
          <w:color w:val="000000"/>
          <w:sz w:val="23"/>
        </w:rPr>
      </w:pPr>
      <w:r w:rsidRPr="008D0ED8">
        <w:rPr>
          <w:rFonts w:eastAsia="Times New Roman"/>
          <w:color w:val="000000"/>
          <w:sz w:val="23"/>
        </w:rPr>
        <w:t xml:space="preserve">All materials used to train Title IX Coordinators, investigators, decision makers, and any person who facilitates an informal resolution process.  A District must make these training materials publicly available on its website, or if the District does not maintain a website the District must make these materials available upon request for inspection by members of the public.  </w:t>
      </w:r>
    </w:p>
    <w:p w:rsidR="00C91A4B" w:rsidRDefault="00A2563A" w:rsidP="00A2563A">
      <w:pPr>
        <w:tabs>
          <w:tab w:val="left" w:pos="720"/>
          <w:tab w:val="left" w:pos="1440"/>
          <w:tab w:val="left" w:pos="2160"/>
          <w:tab w:val="left" w:pos="2880"/>
        </w:tabs>
        <w:spacing w:before="203" w:line="274" w:lineRule="exact"/>
        <w:ind w:left="2160" w:hanging="720"/>
        <w:jc w:val="both"/>
        <w:textAlignment w:val="baseline"/>
        <w:rPr>
          <w:rFonts w:eastAsia="Times New Roman"/>
          <w:b/>
          <w:color w:val="000000"/>
          <w:spacing w:val="160"/>
          <w:sz w:val="23"/>
        </w:rPr>
      </w:pPr>
      <w:r>
        <w:rPr>
          <w:rFonts w:eastAsia="Times New Roman"/>
          <w:color w:val="000000"/>
          <w:sz w:val="23"/>
        </w:rPr>
        <w:t>(ii)</w:t>
      </w:r>
      <w:r>
        <w:rPr>
          <w:rFonts w:eastAsia="Times New Roman"/>
          <w:color w:val="000000"/>
          <w:sz w:val="23"/>
        </w:rPr>
        <w:tab/>
        <w:t xml:space="preserve">For each complaint, a District must create, and maintain for a period of seven years, records of any actions, including any supportive measures, taken in response to a report or formal complaint of sexual harassment. In each instance, the District must document (using </w:t>
      </w:r>
      <w:r>
        <w:rPr>
          <w:rFonts w:eastAsia="Times New Roman"/>
          <w:b/>
          <w:color w:val="000000"/>
          <w:sz w:val="23"/>
        </w:rPr>
        <w:t>Attachment</w:t>
      </w:r>
      <w:r w:rsidRPr="00472826">
        <w:rPr>
          <w:rFonts w:eastAsia="Times New Roman"/>
          <w:b/>
          <w:color w:val="000000"/>
          <w:sz w:val="23"/>
        </w:rPr>
        <w:t xml:space="preserve"> </w:t>
      </w:r>
      <w:bookmarkStart w:id="0" w:name="_GoBack"/>
      <w:bookmarkEnd w:id="0"/>
      <w:r w:rsidR="00682F9D">
        <w:rPr>
          <w:rFonts w:eastAsia="Times New Roman"/>
          <w:b/>
          <w:color w:val="000000"/>
          <w:sz w:val="23"/>
        </w:rPr>
        <w:t>J</w:t>
      </w:r>
      <w:r>
        <w:rPr>
          <w:rFonts w:eastAsia="Times New Roman"/>
          <w:color w:val="000000"/>
          <w:sz w:val="23"/>
        </w:rPr>
        <w:t xml:space="preserve"> the basis for its conclusion that its response was </w:t>
      </w:r>
      <w:proofErr w:type="gramStart"/>
      <w:r>
        <w:rPr>
          <w:rFonts w:eastAsia="Times New Roman"/>
          <w:color w:val="000000"/>
          <w:sz w:val="23"/>
        </w:rPr>
        <w:t>not deliberately indifferent</w:t>
      </w:r>
      <w:proofErr w:type="gramEnd"/>
      <w:r>
        <w:rPr>
          <w:rFonts w:eastAsia="Times New Roman"/>
          <w:color w:val="000000"/>
          <w:sz w:val="23"/>
        </w:rPr>
        <w:t>, and document that it has taken measures designed to restore or preserve equal access to the District's education program or activity. If a District does not provide a complainant with supportive measures, then the District must document the reasons why such a response was not clearly unreasonable in light of the known circumstances. The documentation of certain bases or measures does not limit the District in the future from providing additional explanations or detailing additional measures taken.</w:t>
      </w:r>
    </w:p>
    <w:p w:rsidR="00C91A4B" w:rsidRDefault="00C91A4B" w:rsidP="00C91A4B">
      <w:pPr>
        <w:tabs>
          <w:tab w:val="left" w:pos="720"/>
          <w:tab w:val="left" w:pos="1440"/>
          <w:tab w:val="left" w:pos="2160"/>
          <w:tab w:val="left" w:pos="2880"/>
        </w:tabs>
        <w:spacing w:before="203" w:line="274" w:lineRule="exact"/>
        <w:jc w:val="center"/>
        <w:textAlignment w:val="baseline"/>
        <w:rPr>
          <w:rFonts w:eastAsia="Times New Roman"/>
          <w:b/>
          <w:color w:val="000000"/>
          <w:spacing w:val="160"/>
          <w:sz w:val="23"/>
        </w:rPr>
      </w:pPr>
    </w:p>
    <w:p w:rsidR="00C91A4B" w:rsidRDefault="00C91A4B" w:rsidP="00C91A4B">
      <w:pPr>
        <w:tabs>
          <w:tab w:val="left" w:pos="720"/>
          <w:tab w:val="left" w:pos="1440"/>
          <w:tab w:val="left" w:pos="2160"/>
          <w:tab w:val="left" w:pos="2880"/>
        </w:tabs>
        <w:spacing w:before="203" w:line="274" w:lineRule="exact"/>
        <w:jc w:val="center"/>
        <w:textAlignment w:val="baseline"/>
        <w:rPr>
          <w:rFonts w:eastAsia="Times New Roman"/>
          <w:b/>
          <w:color w:val="000000"/>
          <w:spacing w:val="160"/>
          <w:sz w:val="23"/>
        </w:rPr>
      </w:pPr>
    </w:p>
    <w:p w:rsidR="00C91A4B" w:rsidRDefault="00C91A4B" w:rsidP="00C91A4B">
      <w:pPr>
        <w:tabs>
          <w:tab w:val="left" w:pos="720"/>
          <w:tab w:val="left" w:pos="1440"/>
          <w:tab w:val="left" w:pos="2160"/>
          <w:tab w:val="left" w:pos="2880"/>
        </w:tabs>
        <w:spacing w:before="203" w:line="274" w:lineRule="exact"/>
        <w:textAlignment w:val="baseline"/>
        <w:rPr>
          <w:rFonts w:eastAsia="Times New Roman"/>
          <w:b/>
          <w:color w:val="000000"/>
          <w:spacing w:val="160"/>
          <w:sz w:val="23"/>
        </w:rPr>
      </w:pPr>
    </w:p>
    <w:p w:rsidR="00DC6CA9" w:rsidRDefault="00DC6CA9" w:rsidP="0064640F">
      <w:pPr>
        <w:widowControl w:val="0"/>
        <w:tabs>
          <w:tab w:val="right" w:pos="8900"/>
        </w:tabs>
        <w:spacing w:before="169" w:line="272" w:lineRule="exact"/>
        <w:textAlignment w:val="baseline"/>
        <w:sectPr w:rsidR="00DC6CA9">
          <w:headerReference w:type="default" r:id="rId7"/>
          <w:pgSz w:w="12250" w:h="15840"/>
          <w:pgMar w:top="1700" w:right="1694" w:bottom="604" w:left="1656" w:header="720" w:footer="720" w:gutter="0"/>
          <w:cols w:space="720"/>
        </w:sectPr>
      </w:pPr>
    </w:p>
    <w:p w:rsidR="00DC6CA9" w:rsidRDefault="00DC6CA9" w:rsidP="00B464EE">
      <w:pPr>
        <w:spacing w:line="167" w:lineRule="exact"/>
        <w:textAlignment w:val="baseline"/>
        <w:rPr>
          <w:rFonts w:ascii="Arial" w:eastAsia="Arial" w:hAnsi="Arial"/>
          <w:b/>
          <w:color w:val="000000"/>
          <w:spacing w:val="-6"/>
          <w:sz w:val="14"/>
        </w:rPr>
      </w:pPr>
    </w:p>
    <w:sectPr w:rsidR="00DC6CA9">
      <w:type w:val="continuous"/>
      <w:pgSz w:w="12250" w:h="15840"/>
      <w:pgMar w:top="1680" w:right="9788" w:bottom="60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B5" w:rsidRDefault="00B120B5" w:rsidP="00B120B5">
      <w:r>
        <w:separator/>
      </w:r>
    </w:p>
  </w:endnote>
  <w:endnote w:type="continuationSeparator" w:id="0">
    <w:p w:rsidR="00B120B5" w:rsidRDefault="00B120B5" w:rsidP="00B1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B5" w:rsidRDefault="00B120B5" w:rsidP="00B120B5">
      <w:r>
        <w:separator/>
      </w:r>
    </w:p>
  </w:footnote>
  <w:footnote w:type="continuationSeparator" w:id="0">
    <w:p w:rsidR="00B120B5" w:rsidRDefault="00B120B5" w:rsidP="00B1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B5" w:rsidRDefault="00B120B5" w:rsidP="00B120B5">
    <w:pPr>
      <w:pStyle w:val="Header"/>
    </w:pPr>
    <w:r>
      <w:t>TITLE IX GRIEVANCE PROCESS</w:t>
    </w:r>
  </w:p>
  <w:p w:rsidR="00B120B5" w:rsidRDefault="00BA65D1" w:rsidP="00B120B5">
    <w:pPr>
      <w:pStyle w:val="Footer"/>
      <w:jc w:val="center"/>
    </w:pPr>
    <w:r>
      <w:t>APPENDIX</w:t>
    </w:r>
    <w:r w:rsidR="00B120B5">
      <w:tab/>
    </w:r>
    <w:r w:rsidR="00B120B5">
      <w:tab/>
      <w:t>PAGE</w:t>
    </w:r>
    <w:r w:rsidR="00B120B5" w:rsidRPr="00336A8D">
      <w:t xml:space="preserve"> </w:t>
    </w:r>
    <w:r w:rsidR="00B120B5" w:rsidRPr="00336A8D">
      <w:rPr>
        <w:szCs w:val="24"/>
      </w:rPr>
      <w:fldChar w:fldCharType="begin"/>
    </w:r>
    <w:r w:rsidR="00B120B5" w:rsidRPr="00336A8D">
      <w:instrText xml:space="preserve"> PAGE </w:instrText>
    </w:r>
    <w:r w:rsidR="00B120B5" w:rsidRPr="00336A8D">
      <w:rPr>
        <w:szCs w:val="24"/>
      </w:rPr>
      <w:fldChar w:fldCharType="separate"/>
    </w:r>
    <w:r w:rsidR="001C456D">
      <w:rPr>
        <w:noProof/>
      </w:rPr>
      <w:t>9</w:t>
    </w:r>
    <w:r w:rsidR="00B120B5" w:rsidRPr="00336A8D">
      <w:rPr>
        <w:szCs w:val="24"/>
      </w:rPr>
      <w:fldChar w:fldCharType="end"/>
    </w:r>
    <w:r w:rsidR="00B120B5" w:rsidRPr="00336A8D">
      <w:t xml:space="preserve"> </w:t>
    </w:r>
    <w:r w:rsidR="00B120B5">
      <w:t>OF</w:t>
    </w:r>
    <w:r w:rsidR="00B120B5" w:rsidRPr="00336A8D">
      <w:t xml:space="preserve"> </w:t>
    </w:r>
    <w:fldSimple w:instr=" NUMPAGES  ">
      <w:r w:rsidR="001C456D">
        <w:rPr>
          <w:noProof/>
        </w:rPr>
        <w:t>10</w:t>
      </w:r>
    </w:fldSimple>
  </w:p>
  <w:p w:rsidR="00B120B5" w:rsidRDefault="00B120B5">
    <w:pPr>
      <w:pStyle w:val="Header"/>
    </w:pPr>
  </w:p>
  <w:p w:rsidR="00B120B5" w:rsidRDefault="00B120B5">
    <w:pPr>
      <w:pStyle w:val="Header"/>
    </w:pPr>
  </w:p>
  <w:p w:rsidR="00A609ED" w:rsidRDefault="00A609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2D1"/>
    <w:multiLevelType w:val="hybridMultilevel"/>
    <w:tmpl w:val="9C26DF0E"/>
    <w:lvl w:ilvl="0" w:tplc="56649B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F752BA"/>
    <w:multiLevelType w:val="multilevel"/>
    <w:tmpl w:val="F522B2AC"/>
    <w:lvl w:ilvl="0">
      <w:start w:val="1"/>
      <w:numFmt w:val="lowerRoman"/>
      <w:lvlText w:val="(%1)"/>
      <w:lvlJc w:val="left"/>
      <w:pPr>
        <w:tabs>
          <w:tab w:val="num" w:pos="2160"/>
        </w:tabs>
        <w:ind w:left="1440" w:firstLine="0"/>
      </w:pPr>
      <w:rPr>
        <w:rFonts w:ascii="Times New Roman" w:eastAsia="Times New Roman" w:hAnsi="Times New Roman" w:hint="default"/>
        <w:color w:val="000000"/>
        <w:spacing w:val="0"/>
        <w:w w:val="100"/>
        <w:sz w:val="23"/>
        <w:vertAlign w:val="baseline"/>
      </w:rPr>
    </w:lvl>
    <w:lvl w:ilvl="1">
      <w:start w:val="1"/>
      <w:numFmt w:val="upperRoman"/>
      <w:lvlText w:val="%2."/>
      <w:lvlJc w:val="right"/>
      <w:pPr>
        <w:ind w:left="1440" w:firstLine="0"/>
      </w:pPr>
      <w:rPr>
        <w:rFonts w:hint="default"/>
      </w:rPr>
    </w:lvl>
    <w:lvl w:ilvl="2">
      <w:numFmt w:val="decimal"/>
      <w:lvlText w:val=""/>
      <w:lvlJc w:val="left"/>
      <w:pPr>
        <w:ind w:left="1440" w:firstLine="0"/>
      </w:pPr>
      <w:rPr>
        <w:rFonts w:hint="default"/>
      </w:rPr>
    </w:lvl>
    <w:lvl w:ilvl="3">
      <w:numFmt w:val="decimal"/>
      <w:lvlText w:val=""/>
      <w:lvlJc w:val="left"/>
      <w:pPr>
        <w:ind w:left="1440" w:firstLine="0"/>
      </w:pPr>
      <w:rPr>
        <w:rFonts w:hint="default"/>
      </w:rPr>
    </w:lvl>
    <w:lvl w:ilvl="4">
      <w:numFmt w:val="decimal"/>
      <w:lvlText w:val=""/>
      <w:lvlJc w:val="left"/>
      <w:pPr>
        <w:ind w:left="1440" w:firstLine="0"/>
      </w:pPr>
      <w:rPr>
        <w:rFonts w:hint="default"/>
      </w:rPr>
    </w:lvl>
    <w:lvl w:ilvl="5">
      <w:numFmt w:val="decimal"/>
      <w:lvlText w:val=""/>
      <w:lvlJc w:val="left"/>
      <w:pPr>
        <w:ind w:left="1440" w:firstLine="0"/>
      </w:pPr>
      <w:rPr>
        <w:rFonts w:hint="default"/>
      </w:rPr>
    </w:lvl>
    <w:lvl w:ilvl="6">
      <w:numFmt w:val="decimal"/>
      <w:lvlText w:val=""/>
      <w:lvlJc w:val="left"/>
      <w:pPr>
        <w:ind w:left="1440" w:firstLine="0"/>
      </w:pPr>
      <w:rPr>
        <w:rFonts w:hint="default"/>
      </w:rPr>
    </w:lvl>
    <w:lvl w:ilvl="7">
      <w:numFmt w:val="decimal"/>
      <w:lvlText w:val=""/>
      <w:lvlJc w:val="left"/>
      <w:pPr>
        <w:ind w:left="1440" w:firstLine="0"/>
      </w:pPr>
      <w:rPr>
        <w:rFonts w:hint="default"/>
      </w:rPr>
    </w:lvl>
    <w:lvl w:ilvl="8">
      <w:numFmt w:val="decimal"/>
      <w:lvlText w:val=""/>
      <w:lvlJc w:val="left"/>
      <w:pPr>
        <w:ind w:left="1440" w:firstLine="0"/>
      </w:pPr>
      <w:rPr>
        <w:rFonts w:hint="default"/>
      </w:rPr>
    </w:lvl>
  </w:abstractNum>
  <w:abstractNum w:abstractNumId="2" w15:restartNumberingAfterBreak="0">
    <w:nsid w:val="0CA724F3"/>
    <w:multiLevelType w:val="hybridMultilevel"/>
    <w:tmpl w:val="857A2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53A71"/>
    <w:multiLevelType w:val="hybridMultilevel"/>
    <w:tmpl w:val="C8A645BE"/>
    <w:lvl w:ilvl="0" w:tplc="7A0A3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DA6B17"/>
    <w:multiLevelType w:val="multilevel"/>
    <w:tmpl w:val="1DF254D2"/>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91A1B"/>
    <w:multiLevelType w:val="hybridMultilevel"/>
    <w:tmpl w:val="5E5A0958"/>
    <w:lvl w:ilvl="0" w:tplc="1BCA84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60FF8"/>
    <w:multiLevelType w:val="hybridMultilevel"/>
    <w:tmpl w:val="A5FA0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57B54"/>
    <w:multiLevelType w:val="multilevel"/>
    <w:tmpl w:val="151293CC"/>
    <w:lvl w:ilvl="0">
      <w:start w:val="1"/>
      <w:numFmt w:val="low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7097C"/>
    <w:multiLevelType w:val="multilevel"/>
    <w:tmpl w:val="324AABA6"/>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923F8B"/>
    <w:multiLevelType w:val="multilevel"/>
    <w:tmpl w:val="B8B8DB80"/>
    <w:lvl w:ilvl="0">
      <w:start w:val="1"/>
      <w:numFmt w:val="lowerRoman"/>
      <w:lvlText w:val="(%1)"/>
      <w:lvlJc w:val="left"/>
      <w:pPr>
        <w:tabs>
          <w:tab w:val="left" w:pos="720"/>
        </w:tabs>
      </w:pPr>
      <w:rPr>
        <w:rFonts w:ascii="Times New Roman" w:eastAsia="Times New Roman" w:hAnsi="Times New Roman"/>
        <w:color w:val="000000"/>
        <w:spacing w:val="0"/>
        <w:w w:val="100"/>
        <w:sz w:val="23"/>
        <w:vertAlign w:val="baseline"/>
        <w:lang w:val="en-US"/>
      </w:rPr>
    </w:lvl>
    <w:lvl w:ilvl="1">
      <w:start w:val="1"/>
      <w:numFmt w:val="upp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154169"/>
    <w:multiLevelType w:val="multilevel"/>
    <w:tmpl w:val="434C4800"/>
    <w:lvl w:ilvl="0">
      <w:start w:val="1"/>
      <w:numFmt w:val="lowerRoman"/>
      <w:lvlText w:val="%1."/>
      <w:lvlJc w:val="left"/>
      <w:pPr>
        <w:tabs>
          <w:tab w:val="num" w:pos="2088"/>
        </w:tabs>
        <w:ind w:left="1368" w:firstLine="0"/>
      </w:pPr>
      <w:rPr>
        <w:rFonts w:ascii="Times New Roman" w:eastAsia="Times New Roman" w:hAnsi="Times New Roman" w:hint="default"/>
        <w:color w:val="000000"/>
        <w:spacing w:val="-1"/>
        <w:w w:val="100"/>
        <w:sz w:val="23"/>
        <w:vertAlign w:val="baseline"/>
        <w:lang w:val="en-US"/>
      </w:rPr>
    </w:lvl>
    <w:lvl w:ilvl="1">
      <w:numFmt w:val="decimal"/>
      <w:lvlText w:val=""/>
      <w:lvlJc w:val="left"/>
      <w:pPr>
        <w:ind w:left="1368" w:firstLine="0"/>
      </w:pPr>
      <w:rPr>
        <w:rFonts w:hint="default"/>
      </w:rPr>
    </w:lvl>
    <w:lvl w:ilvl="2">
      <w:numFmt w:val="decimal"/>
      <w:lvlText w:val=""/>
      <w:lvlJc w:val="left"/>
      <w:pPr>
        <w:ind w:left="1368" w:firstLine="0"/>
      </w:pPr>
      <w:rPr>
        <w:rFonts w:hint="default"/>
      </w:rPr>
    </w:lvl>
    <w:lvl w:ilvl="3">
      <w:numFmt w:val="decimal"/>
      <w:lvlText w:val=""/>
      <w:lvlJc w:val="left"/>
      <w:pPr>
        <w:ind w:left="1368" w:firstLine="0"/>
      </w:pPr>
      <w:rPr>
        <w:rFonts w:hint="default"/>
      </w:rPr>
    </w:lvl>
    <w:lvl w:ilvl="4">
      <w:numFmt w:val="decimal"/>
      <w:lvlText w:val=""/>
      <w:lvlJc w:val="left"/>
      <w:pPr>
        <w:ind w:left="1368" w:firstLine="0"/>
      </w:pPr>
      <w:rPr>
        <w:rFonts w:hint="default"/>
      </w:rPr>
    </w:lvl>
    <w:lvl w:ilvl="5">
      <w:numFmt w:val="decimal"/>
      <w:lvlText w:val=""/>
      <w:lvlJc w:val="left"/>
      <w:pPr>
        <w:ind w:left="1368" w:firstLine="0"/>
      </w:pPr>
      <w:rPr>
        <w:rFonts w:hint="default"/>
      </w:rPr>
    </w:lvl>
    <w:lvl w:ilvl="6">
      <w:numFmt w:val="decimal"/>
      <w:lvlText w:val=""/>
      <w:lvlJc w:val="left"/>
      <w:pPr>
        <w:ind w:left="1368" w:firstLine="0"/>
      </w:pPr>
      <w:rPr>
        <w:rFonts w:hint="default"/>
      </w:rPr>
    </w:lvl>
    <w:lvl w:ilvl="7">
      <w:numFmt w:val="decimal"/>
      <w:lvlText w:val=""/>
      <w:lvlJc w:val="left"/>
      <w:pPr>
        <w:ind w:left="1368" w:firstLine="0"/>
      </w:pPr>
      <w:rPr>
        <w:rFonts w:hint="default"/>
      </w:rPr>
    </w:lvl>
    <w:lvl w:ilvl="8">
      <w:numFmt w:val="decimal"/>
      <w:lvlText w:val=""/>
      <w:lvlJc w:val="left"/>
      <w:pPr>
        <w:ind w:left="1368" w:firstLine="0"/>
      </w:pPr>
      <w:rPr>
        <w:rFonts w:hint="default"/>
      </w:rPr>
    </w:lvl>
  </w:abstractNum>
  <w:abstractNum w:abstractNumId="11" w15:restartNumberingAfterBreak="0">
    <w:nsid w:val="35F23160"/>
    <w:multiLevelType w:val="multilevel"/>
    <w:tmpl w:val="C7A0ECEA"/>
    <w:lvl w:ilvl="0">
      <w:start w:val="3"/>
      <w:numFmt w:val="lowerRoman"/>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256599"/>
    <w:multiLevelType w:val="multilevel"/>
    <w:tmpl w:val="C7080D0A"/>
    <w:lvl w:ilvl="0">
      <w:start w:val="1"/>
      <w:numFmt w:val="lowerRoman"/>
      <w:lvlText w:val="%1."/>
      <w:lvlJc w:val="left"/>
      <w:pPr>
        <w:tabs>
          <w:tab w:val="left" w:pos="864"/>
        </w:tabs>
      </w:pPr>
      <w:rPr>
        <w:rFonts w:ascii="Times New Roman" w:eastAsia="Times New Roman" w:hAnsi="Times New Roman"/>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142FDD"/>
    <w:multiLevelType w:val="multilevel"/>
    <w:tmpl w:val="D3144426"/>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F83538"/>
    <w:multiLevelType w:val="multilevel"/>
    <w:tmpl w:val="62F4C6DC"/>
    <w:lvl w:ilvl="0">
      <w:start w:val="1"/>
      <w:numFmt w:val="upp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0B0143"/>
    <w:multiLevelType w:val="hybridMultilevel"/>
    <w:tmpl w:val="E2567D7E"/>
    <w:lvl w:ilvl="0" w:tplc="04090013">
      <w:start w:val="1"/>
      <w:numFmt w:val="upperRoman"/>
      <w:lvlText w:val="%1."/>
      <w:lvlJc w:val="right"/>
      <w:pPr>
        <w:ind w:left="2085" w:hanging="360"/>
      </w:pPr>
    </w:lvl>
    <w:lvl w:ilvl="1" w:tplc="04090019" w:tentative="1">
      <w:start w:val="1"/>
      <w:numFmt w:val="lowerLetter"/>
      <w:lvlText w:val="%2."/>
      <w:lvlJc w:val="left"/>
      <w:pPr>
        <w:ind w:left="2805" w:hanging="360"/>
      </w:pPr>
    </w:lvl>
    <w:lvl w:ilvl="2" w:tplc="04090013">
      <w:start w:val="1"/>
      <w:numFmt w:val="upp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6" w15:restartNumberingAfterBreak="0">
    <w:nsid w:val="42AE5C5B"/>
    <w:multiLevelType w:val="multilevel"/>
    <w:tmpl w:val="AE240824"/>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472C98"/>
    <w:multiLevelType w:val="hybridMultilevel"/>
    <w:tmpl w:val="889418C8"/>
    <w:lvl w:ilvl="0" w:tplc="5EF428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582C50"/>
    <w:multiLevelType w:val="hybridMultilevel"/>
    <w:tmpl w:val="881E8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D7D58"/>
    <w:multiLevelType w:val="multilevel"/>
    <w:tmpl w:val="D214BFE2"/>
    <w:lvl w:ilvl="0">
      <w:start w:val="4"/>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E61B0D"/>
    <w:multiLevelType w:val="hybridMultilevel"/>
    <w:tmpl w:val="67F6E7F8"/>
    <w:lvl w:ilvl="0" w:tplc="5AB4247E">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E329C2"/>
    <w:multiLevelType w:val="multilevel"/>
    <w:tmpl w:val="6B9A545A"/>
    <w:lvl w:ilvl="0">
      <w:start w:val="6"/>
      <w:numFmt w:val="upperLetter"/>
      <w:lvlText w:val="%1."/>
      <w:lvlJc w:val="left"/>
      <w:pPr>
        <w:tabs>
          <w:tab w:val="left" w:pos="720"/>
        </w:tabs>
      </w:pPr>
      <w:rPr>
        <w:rFonts w:ascii="Times New Roman" w:eastAsia="Times New Roman" w:hAnsi="Times New Roman"/>
        <w:b/>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C6733E"/>
    <w:multiLevelType w:val="multilevel"/>
    <w:tmpl w:val="CB200098"/>
    <w:lvl w:ilvl="0">
      <w:start w:val="1"/>
      <w:numFmt w:val="upperLetter"/>
      <w:lvlText w:val="%1."/>
      <w:lvlJc w:val="left"/>
      <w:pPr>
        <w:tabs>
          <w:tab w:val="left" w:pos="64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84682"/>
    <w:multiLevelType w:val="multilevel"/>
    <w:tmpl w:val="337C6B44"/>
    <w:lvl w:ilvl="0">
      <w:start w:val="1"/>
      <w:numFmt w:val="lowerRoman"/>
      <w:lvlText w:val="%1."/>
      <w:lvlJc w:val="left"/>
      <w:pPr>
        <w:tabs>
          <w:tab w:val="left" w:pos="720"/>
        </w:tabs>
      </w:pPr>
      <w:rPr>
        <w:rFonts w:ascii="Times New Roman" w:eastAsia="Times New Roman" w:hAnsi="Times New Roman"/>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4E6C04"/>
    <w:multiLevelType w:val="multilevel"/>
    <w:tmpl w:val="4796D936"/>
    <w:lvl w:ilvl="0">
      <w:start w:val="1"/>
      <w:numFmt w:val="lowerRoman"/>
      <w:lvlText w:val="(%1)"/>
      <w:lvlJc w:val="left"/>
      <w:pPr>
        <w:tabs>
          <w:tab w:val="left" w:pos="417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1851A7"/>
    <w:multiLevelType w:val="multilevel"/>
    <w:tmpl w:val="62F4C6DC"/>
    <w:lvl w:ilvl="0">
      <w:start w:val="1"/>
      <w:numFmt w:val="upperLetter"/>
      <w:lvlText w:val="%1."/>
      <w:lvlJc w:val="left"/>
      <w:pPr>
        <w:tabs>
          <w:tab w:val="left" w:pos="72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D97E7D"/>
    <w:multiLevelType w:val="multilevel"/>
    <w:tmpl w:val="3CCE29B8"/>
    <w:lvl w:ilvl="0">
      <w:start w:val="10"/>
      <w:numFmt w:val="upperLetter"/>
      <w:lvlText w:val="%1."/>
      <w:lvlJc w:val="left"/>
      <w:pPr>
        <w:tabs>
          <w:tab w:val="num" w:pos="720"/>
        </w:tabs>
        <w:ind w:left="0" w:firstLine="0"/>
      </w:pPr>
      <w:rPr>
        <w:rFonts w:ascii="Times New Roman" w:eastAsia="Times New Roman" w:hAnsi="Times New Roman" w:hint="default"/>
        <w:color w:val="000000"/>
        <w:spacing w:val="0"/>
        <w:w w:val="100"/>
        <w:sz w:val="23"/>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A8D54C0"/>
    <w:multiLevelType w:val="multilevel"/>
    <w:tmpl w:val="00540432"/>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
  </w:num>
  <w:num w:numId="3">
    <w:abstractNumId w:val="10"/>
  </w:num>
  <w:num w:numId="4">
    <w:abstractNumId w:val="8"/>
  </w:num>
  <w:num w:numId="5">
    <w:abstractNumId w:val="18"/>
  </w:num>
  <w:num w:numId="6">
    <w:abstractNumId w:val="2"/>
  </w:num>
  <w:num w:numId="7">
    <w:abstractNumId w:val="27"/>
  </w:num>
  <w:num w:numId="8">
    <w:abstractNumId w:val="13"/>
  </w:num>
  <w:num w:numId="9">
    <w:abstractNumId w:val="23"/>
  </w:num>
  <w:num w:numId="10">
    <w:abstractNumId w:val="16"/>
  </w:num>
  <w:num w:numId="11">
    <w:abstractNumId w:val="6"/>
  </w:num>
  <w:num w:numId="12">
    <w:abstractNumId w:val="25"/>
  </w:num>
  <w:num w:numId="13">
    <w:abstractNumId w:val="19"/>
  </w:num>
  <w:num w:numId="14">
    <w:abstractNumId w:val="11"/>
  </w:num>
  <w:num w:numId="15">
    <w:abstractNumId w:val="24"/>
  </w:num>
  <w:num w:numId="16">
    <w:abstractNumId w:val="14"/>
  </w:num>
  <w:num w:numId="17">
    <w:abstractNumId w:val="12"/>
  </w:num>
  <w:num w:numId="18">
    <w:abstractNumId w:val="21"/>
  </w:num>
  <w:num w:numId="19">
    <w:abstractNumId w:val="9"/>
  </w:num>
  <w:num w:numId="20">
    <w:abstractNumId w:val="7"/>
  </w:num>
  <w:num w:numId="21">
    <w:abstractNumId w:val="15"/>
  </w:num>
  <w:num w:numId="22">
    <w:abstractNumId w:val="20"/>
  </w:num>
  <w:num w:numId="23">
    <w:abstractNumId w:val="1"/>
  </w:num>
  <w:num w:numId="24">
    <w:abstractNumId w:val="0"/>
  </w:num>
  <w:num w:numId="25">
    <w:abstractNumId w:val="3"/>
  </w:num>
  <w:num w:numId="26">
    <w:abstractNumId w:val="17"/>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A9"/>
    <w:rsid w:val="0004084E"/>
    <w:rsid w:val="000D6F0E"/>
    <w:rsid w:val="00112585"/>
    <w:rsid w:val="0018331B"/>
    <w:rsid w:val="001A567C"/>
    <w:rsid w:val="001C456D"/>
    <w:rsid w:val="0028290B"/>
    <w:rsid w:val="002A5526"/>
    <w:rsid w:val="002B029C"/>
    <w:rsid w:val="00353ED5"/>
    <w:rsid w:val="00472826"/>
    <w:rsid w:val="00520059"/>
    <w:rsid w:val="005C7A19"/>
    <w:rsid w:val="0064640F"/>
    <w:rsid w:val="00682F9D"/>
    <w:rsid w:val="007F6FA9"/>
    <w:rsid w:val="008214E8"/>
    <w:rsid w:val="00841051"/>
    <w:rsid w:val="008D0359"/>
    <w:rsid w:val="008D0ED8"/>
    <w:rsid w:val="00943BC0"/>
    <w:rsid w:val="009C3527"/>
    <w:rsid w:val="00A2563A"/>
    <w:rsid w:val="00A609ED"/>
    <w:rsid w:val="00AC47A9"/>
    <w:rsid w:val="00AE3DB5"/>
    <w:rsid w:val="00B045A9"/>
    <w:rsid w:val="00B120B5"/>
    <w:rsid w:val="00B464EE"/>
    <w:rsid w:val="00B55988"/>
    <w:rsid w:val="00B672C5"/>
    <w:rsid w:val="00BA65D1"/>
    <w:rsid w:val="00C91A4B"/>
    <w:rsid w:val="00DC6CA9"/>
    <w:rsid w:val="00E14720"/>
    <w:rsid w:val="00ED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B34D"/>
  <w15:docId w15:val="{8FAFE36B-7B3F-4498-9418-381D3DEB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B5"/>
    <w:pPr>
      <w:tabs>
        <w:tab w:val="center" w:pos="4680"/>
        <w:tab w:val="right" w:pos="9360"/>
      </w:tabs>
    </w:pPr>
  </w:style>
  <w:style w:type="character" w:customStyle="1" w:styleId="HeaderChar">
    <w:name w:val="Header Char"/>
    <w:basedOn w:val="DefaultParagraphFont"/>
    <w:link w:val="Header"/>
    <w:uiPriority w:val="99"/>
    <w:rsid w:val="00B120B5"/>
  </w:style>
  <w:style w:type="paragraph" w:styleId="Footer">
    <w:name w:val="footer"/>
    <w:basedOn w:val="Normal"/>
    <w:link w:val="FooterChar"/>
    <w:uiPriority w:val="99"/>
    <w:unhideWhenUsed/>
    <w:rsid w:val="00B120B5"/>
    <w:pPr>
      <w:tabs>
        <w:tab w:val="center" w:pos="4680"/>
        <w:tab w:val="right" w:pos="9360"/>
      </w:tabs>
    </w:pPr>
  </w:style>
  <w:style w:type="character" w:customStyle="1" w:styleId="FooterChar">
    <w:name w:val="Footer Char"/>
    <w:basedOn w:val="DefaultParagraphFont"/>
    <w:link w:val="Footer"/>
    <w:uiPriority w:val="99"/>
    <w:rsid w:val="00B120B5"/>
  </w:style>
  <w:style w:type="paragraph" w:styleId="ListParagraph">
    <w:name w:val="List Paragraph"/>
    <w:basedOn w:val="Normal"/>
    <w:uiPriority w:val="34"/>
    <w:qFormat/>
    <w:rsid w:val="00E14720"/>
    <w:pPr>
      <w:ind w:left="720"/>
      <w:contextualSpacing/>
    </w:pPr>
  </w:style>
  <w:style w:type="paragraph" w:styleId="BalloonText">
    <w:name w:val="Balloon Text"/>
    <w:basedOn w:val="Normal"/>
    <w:link w:val="BalloonTextChar"/>
    <w:uiPriority w:val="99"/>
    <w:semiHidden/>
    <w:unhideWhenUsed/>
    <w:rsid w:val="00B46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10</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Wallingford-Swarthmore School District</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Palmer</dc:creator>
  <cp:lastModifiedBy>Lisa Palmer</cp:lastModifiedBy>
  <cp:revision>15</cp:revision>
  <cp:lastPrinted>2021-05-31T19:05:00Z</cp:lastPrinted>
  <dcterms:created xsi:type="dcterms:W3CDTF">2021-05-31T16:06:00Z</dcterms:created>
  <dcterms:modified xsi:type="dcterms:W3CDTF">2021-05-31T20:21:00Z</dcterms:modified>
</cp:coreProperties>
</file>